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39" w:rsidRDefault="00204F39" w:rsidP="00204F39"/>
    <w:p w:rsidR="00204F39" w:rsidRDefault="00204F39" w:rsidP="00204F39"/>
    <w:p w:rsidR="00204F39" w:rsidRDefault="00204F39" w:rsidP="00204F39"/>
    <w:tbl>
      <w:tblPr>
        <w:tblW w:w="5000" w:type="pct"/>
        <w:tblCellSpacing w:w="0" w:type="dxa"/>
        <w:tblCellMar>
          <w:left w:w="0" w:type="dxa"/>
          <w:right w:w="0" w:type="dxa"/>
        </w:tblCellMar>
        <w:tblLook w:val="04A0" w:firstRow="1" w:lastRow="0" w:firstColumn="1" w:lastColumn="0" w:noHBand="0" w:noVBand="1"/>
      </w:tblPr>
      <w:tblGrid>
        <w:gridCol w:w="3825"/>
        <w:gridCol w:w="5813"/>
      </w:tblGrid>
      <w:tr w:rsidR="00974A09" w:rsidTr="00974A09">
        <w:trPr>
          <w:tblCellSpacing w:w="0" w:type="dxa"/>
        </w:trPr>
        <w:tc>
          <w:tcPr>
            <w:tcW w:w="3825" w:type="dxa"/>
            <w:hideMark/>
          </w:tcPr>
          <w:p w:rsidR="00974A09" w:rsidRDefault="00974A09">
            <w:pPr>
              <w:rPr>
                <w:rFonts w:eastAsia="Times New Roman"/>
              </w:rPr>
            </w:pPr>
            <w:r>
              <w:rPr>
                <w:rFonts w:eastAsia="Times New Roman"/>
                <w:noProof/>
              </w:rPr>
              <w:drawing>
                <wp:inline distT="0" distB="0" distL="0" distR="0">
                  <wp:extent cx="2371725" cy="828675"/>
                  <wp:effectExtent l="0" t="0" r="9525" b="9525"/>
                  <wp:docPr id="2" name="Immagine 2" descr="Logo F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828675"/>
                          </a:xfrm>
                          <a:prstGeom prst="rect">
                            <a:avLst/>
                          </a:prstGeom>
                          <a:noFill/>
                          <a:ln>
                            <a:noFill/>
                          </a:ln>
                        </pic:spPr>
                      </pic:pic>
                    </a:graphicData>
                  </a:graphic>
                </wp:inline>
              </w:drawing>
            </w:r>
          </w:p>
        </w:tc>
        <w:tc>
          <w:tcPr>
            <w:tcW w:w="0" w:type="auto"/>
            <w:noWrap/>
            <w:hideMark/>
          </w:tcPr>
          <w:p w:rsidR="00974A09" w:rsidRDefault="00974A09">
            <w:pPr>
              <w:pStyle w:val="Titolo1"/>
              <w:spacing w:before="0" w:beforeAutospacing="0" w:after="0" w:afterAutospacing="0"/>
              <w:rPr>
                <w:rFonts w:ascii="Verdana" w:eastAsia="Times New Roman" w:hAnsi="Verdana"/>
                <w:sz w:val="42"/>
                <w:szCs w:val="42"/>
              </w:rPr>
            </w:pPr>
            <w:r>
              <w:rPr>
                <w:rFonts w:ascii="Verdana" w:eastAsia="Times New Roman" w:hAnsi="Verdana"/>
                <w:sz w:val="42"/>
                <w:szCs w:val="42"/>
              </w:rPr>
              <w:t>FLC CGIL Toscana</w:t>
            </w:r>
          </w:p>
          <w:p w:rsidR="00974A09" w:rsidRDefault="00974A09">
            <w:pPr>
              <w:pStyle w:val="Titolo4"/>
              <w:spacing w:before="330" w:beforeAutospacing="0"/>
              <w:rPr>
                <w:rFonts w:ascii="Verdana" w:eastAsia="Times New Roman" w:hAnsi="Verdana"/>
                <w:b w:val="0"/>
                <w:bCs w:val="0"/>
                <w:sz w:val="18"/>
                <w:szCs w:val="18"/>
              </w:rPr>
            </w:pPr>
            <w:hyperlink r:id="rId6" w:tgtFrame="_blank" w:history="1">
              <w:r>
                <w:rPr>
                  <w:rStyle w:val="Collegamentoipertestuale"/>
                  <w:rFonts w:ascii="Verdana" w:eastAsia="Times New Roman" w:hAnsi="Verdana"/>
                  <w:b w:val="0"/>
                  <w:bCs w:val="0"/>
                  <w:sz w:val="18"/>
                  <w:szCs w:val="18"/>
                </w:rPr>
                <w:t>http://www.flc-toscana.it</w:t>
              </w:r>
            </w:hyperlink>
            <w:r>
              <w:rPr>
                <w:rFonts w:ascii="Verdana" w:eastAsia="Times New Roman" w:hAnsi="Verdana"/>
                <w:b w:val="0"/>
                <w:bCs w:val="0"/>
                <w:sz w:val="18"/>
                <w:szCs w:val="18"/>
              </w:rPr>
              <w:t xml:space="preserve"> - e-mail: </w:t>
            </w:r>
            <w:hyperlink r:id="rId7" w:tgtFrame="_blank" w:history="1">
              <w:r>
                <w:rPr>
                  <w:rStyle w:val="Collegamentoipertestuale"/>
                  <w:rFonts w:ascii="Verdana" w:eastAsia="Times New Roman" w:hAnsi="Verdana"/>
                  <w:b w:val="0"/>
                  <w:bCs w:val="0"/>
                  <w:sz w:val="18"/>
                  <w:szCs w:val="18"/>
                </w:rPr>
                <w:t>toscana@flcgil.it</w:t>
              </w:r>
            </w:hyperlink>
            <w:r>
              <w:rPr>
                <w:rFonts w:ascii="Verdana" w:eastAsia="Times New Roman" w:hAnsi="Verdana"/>
                <w:b w:val="0"/>
                <w:bCs w:val="0"/>
                <w:sz w:val="18"/>
                <w:szCs w:val="18"/>
              </w:rPr>
              <w:br/>
              <w:t>Via Pier Capponi, n. 7 – 50132 Firenze - tel. 055.50.36.249</w:t>
            </w:r>
          </w:p>
        </w:tc>
      </w:tr>
    </w:tbl>
    <w:p w:rsidR="00974A09" w:rsidRDefault="00974A09" w:rsidP="00974A09">
      <w:pPr>
        <w:pStyle w:val="Titolo3"/>
        <w:spacing w:after="0" w:afterAutospacing="0"/>
        <w:rPr>
          <w:rFonts w:ascii="Verdana" w:eastAsia="Times New Roman" w:hAnsi="Verdana"/>
        </w:rPr>
      </w:pPr>
      <w:r>
        <w:rPr>
          <w:rStyle w:val="Enfasigrassetto"/>
          <w:rFonts w:ascii="Verdana" w:eastAsia="Times New Roman" w:hAnsi="Verdana"/>
          <w:b/>
          <w:bCs/>
        </w:rPr>
        <w:t>PRESTO E BENE NON CONVIENE</w:t>
      </w:r>
    </w:p>
    <w:p w:rsidR="00974A09" w:rsidRDefault="00974A09" w:rsidP="00974A09">
      <w:pPr>
        <w:pStyle w:val="NormaleWeb"/>
        <w:spacing w:before="90" w:beforeAutospacing="0" w:after="90" w:afterAutospacing="0"/>
        <w:jc w:val="both"/>
        <w:rPr>
          <w:rFonts w:ascii="Verdana" w:hAnsi="Verdana"/>
          <w:sz w:val="18"/>
          <w:szCs w:val="18"/>
        </w:rPr>
      </w:pPr>
      <w:r>
        <w:rPr>
          <w:rFonts w:ascii="Verdana" w:hAnsi="Verdana"/>
          <w:sz w:val="18"/>
          <w:szCs w:val="18"/>
        </w:rPr>
        <w:t>Care colleghe, cari colleghi,</w:t>
      </w:r>
      <w:r>
        <w:rPr>
          <w:rFonts w:ascii="Verdana" w:hAnsi="Verdana"/>
          <w:sz w:val="18"/>
          <w:szCs w:val="18"/>
        </w:rPr>
        <w:br/>
      </w:r>
      <w:proofErr w:type="spellStart"/>
      <w:r>
        <w:rPr>
          <w:rFonts w:ascii="Verdana" w:hAnsi="Verdana"/>
          <w:sz w:val="18"/>
          <w:szCs w:val="18"/>
        </w:rPr>
        <w:t>l’a.s.</w:t>
      </w:r>
      <w:proofErr w:type="spellEnd"/>
      <w:r>
        <w:rPr>
          <w:rFonts w:ascii="Verdana" w:hAnsi="Verdana"/>
          <w:sz w:val="18"/>
          <w:szCs w:val="18"/>
        </w:rPr>
        <w:t xml:space="preserve"> sta iniziando ed abbiamo predisposto un vademecum per affrontarne l’inizio mettendo i presupposti per una democratica gestione delle “novità” introdotte dalla L. 107/15.</w:t>
      </w:r>
    </w:p>
    <w:p w:rsidR="00974A09" w:rsidRDefault="00974A09" w:rsidP="00974A09">
      <w:pPr>
        <w:pStyle w:val="NormaleWeb"/>
        <w:spacing w:before="90" w:beforeAutospacing="0" w:after="90" w:afterAutospacing="0"/>
        <w:jc w:val="both"/>
        <w:rPr>
          <w:rFonts w:ascii="Verdana" w:hAnsi="Verdana"/>
          <w:sz w:val="18"/>
          <w:szCs w:val="18"/>
        </w:rPr>
      </w:pPr>
      <w:r>
        <w:rPr>
          <w:rFonts w:ascii="Verdana" w:hAnsi="Verdana"/>
          <w:sz w:val="18"/>
          <w:szCs w:val="18"/>
        </w:rPr>
        <w:t>L’anno scorso le intempestive procedure  del MIUR non hanno consentito alla categoria di mettere in campo azioni che, avvalendosi della normativa vigente, ma anche di principi didattico-pedagogici rispettosi e condivisi,  rimanessero nell’alveo di corrette azioni educative.</w:t>
      </w:r>
    </w:p>
    <w:p w:rsidR="00974A09" w:rsidRDefault="00974A09" w:rsidP="00974A09">
      <w:pPr>
        <w:pStyle w:val="NormaleWeb"/>
        <w:spacing w:before="90" w:beforeAutospacing="0" w:after="90" w:afterAutospacing="0"/>
        <w:jc w:val="both"/>
        <w:rPr>
          <w:rFonts w:ascii="Verdana" w:hAnsi="Verdana"/>
          <w:sz w:val="18"/>
          <w:szCs w:val="18"/>
        </w:rPr>
      </w:pPr>
      <w:r>
        <w:rPr>
          <w:rFonts w:ascii="Verdana" w:hAnsi="Verdana"/>
          <w:sz w:val="18"/>
          <w:szCs w:val="18"/>
        </w:rPr>
        <w:t xml:space="preserve">Per questo motivo abbiamo predisposto il vademecum che uscirà a brevissimo sul sito </w:t>
      </w:r>
      <w:hyperlink r:id="rId8" w:history="1">
        <w:r>
          <w:rPr>
            <w:rStyle w:val="Collegamentoipertestuale"/>
            <w:rFonts w:ascii="Verdana" w:hAnsi="Verdana"/>
            <w:sz w:val="18"/>
            <w:szCs w:val="18"/>
          </w:rPr>
          <w:t>www.flcgil.it</w:t>
        </w:r>
      </w:hyperlink>
      <w:r>
        <w:rPr>
          <w:rFonts w:ascii="Verdana" w:hAnsi="Verdana"/>
          <w:sz w:val="18"/>
          <w:szCs w:val="18"/>
        </w:rPr>
        <w:t>.</w:t>
      </w:r>
      <w:r>
        <w:rPr>
          <w:rFonts w:ascii="Verdana" w:hAnsi="Verdana"/>
          <w:sz w:val="18"/>
          <w:szCs w:val="18"/>
        </w:rPr>
        <w:br/>
        <w:t xml:space="preserve">Nel frattempo riteniamo indispensabile </w:t>
      </w:r>
      <w:r>
        <w:rPr>
          <w:rStyle w:val="Enfasigrassetto"/>
          <w:rFonts w:ascii="Verdana" w:hAnsi="Verdana"/>
          <w:sz w:val="18"/>
          <w:szCs w:val="18"/>
        </w:rPr>
        <w:t>la corretta gestione dei collegi di inizio anno</w:t>
      </w:r>
      <w:r>
        <w:rPr>
          <w:rFonts w:ascii="Verdana" w:hAnsi="Verdana"/>
          <w:sz w:val="18"/>
          <w:szCs w:val="18"/>
        </w:rPr>
        <w:t>, durante i quali qualche dirigente tenterà di imporre la propria lettura della riforma.</w:t>
      </w:r>
    </w:p>
    <w:p w:rsidR="00974A09" w:rsidRDefault="00974A09" w:rsidP="00974A09">
      <w:pPr>
        <w:pStyle w:val="NormaleWeb"/>
        <w:spacing w:before="90" w:beforeAutospacing="0" w:after="90" w:afterAutospacing="0"/>
        <w:jc w:val="both"/>
        <w:rPr>
          <w:rFonts w:ascii="Verdana" w:hAnsi="Verdana"/>
          <w:sz w:val="18"/>
          <w:szCs w:val="18"/>
        </w:rPr>
      </w:pPr>
      <w:r>
        <w:rPr>
          <w:rFonts w:ascii="Verdana" w:hAnsi="Verdana"/>
          <w:sz w:val="18"/>
          <w:szCs w:val="18"/>
        </w:rPr>
        <w:t>Raccomandiamo quindi di leggere l’</w:t>
      </w:r>
      <w:proofErr w:type="spellStart"/>
      <w:r>
        <w:rPr>
          <w:rFonts w:ascii="Verdana" w:hAnsi="Verdana"/>
          <w:sz w:val="18"/>
          <w:szCs w:val="18"/>
        </w:rPr>
        <w:t>odg</w:t>
      </w:r>
      <w:proofErr w:type="spellEnd"/>
      <w:r>
        <w:rPr>
          <w:rFonts w:ascii="Verdana" w:hAnsi="Verdana"/>
          <w:sz w:val="18"/>
          <w:szCs w:val="18"/>
        </w:rPr>
        <w:t xml:space="preserve">, fermarsi a riflettere   prima di approvare proposte (tipo assegnazioni alle classi, piano attività, progetti per il potenziamento, test invalsi, </w:t>
      </w:r>
      <w:proofErr w:type="spellStart"/>
      <w:r>
        <w:rPr>
          <w:rFonts w:ascii="Verdana" w:hAnsi="Verdana"/>
          <w:sz w:val="18"/>
          <w:szCs w:val="18"/>
        </w:rPr>
        <w:t>ecc</w:t>
      </w:r>
      <w:proofErr w:type="spellEnd"/>
      <w:r>
        <w:rPr>
          <w:rFonts w:ascii="Verdana" w:hAnsi="Verdana"/>
          <w:sz w:val="18"/>
          <w:szCs w:val="18"/>
        </w:rPr>
        <w:t>) e di non deliberare niente prima di avere compreso bene che cosa si propone. Si chiede l’aggiornamento del collegio. Di fronte all’eventuale rifiuto dei Dirigenti si chiede di mettere ai voti il rinvio. Ricordate che le attività funzionali hanno un tetto oltre il quale si pagano le ore in più. La fissazione di date festive o prefestive devo avere carattere di urgenza riscontrabile.</w:t>
      </w:r>
      <w:r>
        <w:rPr>
          <w:rFonts w:ascii="Verdana" w:hAnsi="Verdana"/>
          <w:sz w:val="18"/>
          <w:szCs w:val="18"/>
        </w:rPr>
        <w:br/>
        <w:t xml:space="preserve">Ricordiamo che gli </w:t>
      </w:r>
      <w:r>
        <w:rPr>
          <w:rStyle w:val="Enfasigrassetto"/>
          <w:rFonts w:ascii="Verdana" w:hAnsi="Verdana"/>
          <w:sz w:val="18"/>
          <w:szCs w:val="18"/>
        </w:rPr>
        <w:t>organi collegiali non sono stati riformati</w:t>
      </w:r>
      <w:r>
        <w:rPr>
          <w:rFonts w:ascii="Verdana" w:hAnsi="Verdana"/>
          <w:sz w:val="18"/>
          <w:szCs w:val="18"/>
        </w:rPr>
        <w:t xml:space="preserve"> e che, quindi, il collegio dei docenti e consiglio d’istituto hanno le medesime prerogative di sempre.</w:t>
      </w:r>
    </w:p>
    <w:p w:rsidR="00974A09" w:rsidRDefault="00974A09" w:rsidP="00974A09">
      <w:pPr>
        <w:pStyle w:val="NormaleWeb"/>
        <w:spacing w:before="90" w:beforeAutospacing="0" w:after="90" w:afterAutospacing="0"/>
        <w:jc w:val="both"/>
        <w:rPr>
          <w:rFonts w:ascii="Verdana" w:hAnsi="Verdana"/>
          <w:sz w:val="18"/>
          <w:szCs w:val="18"/>
        </w:rPr>
      </w:pPr>
      <w:r>
        <w:rPr>
          <w:rFonts w:ascii="Verdana" w:hAnsi="Verdana"/>
          <w:sz w:val="18"/>
          <w:szCs w:val="18"/>
        </w:rPr>
        <w:t xml:space="preserve">Le </w:t>
      </w:r>
      <w:r>
        <w:rPr>
          <w:rStyle w:val="Enfasigrassetto"/>
          <w:rFonts w:ascii="Verdana" w:hAnsi="Verdana"/>
          <w:sz w:val="18"/>
          <w:szCs w:val="18"/>
        </w:rPr>
        <w:t>delibere e le votazioni</w:t>
      </w:r>
      <w:r>
        <w:rPr>
          <w:rFonts w:ascii="Verdana" w:hAnsi="Verdana"/>
          <w:sz w:val="18"/>
          <w:szCs w:val="18"/>
        </w:rPr>
        <w:t xml:space="preserve"> che verranno votate in questi giorni, </w:t>
      </w:r>
      <w:r>
        <w:rPr>
          <w:rStyle w:val="Enfasigrassetto"/>
          <w:rFonts w:ascii="Verdana" w:hAnsi="Verdana"/>
          <w:sz w:val="18"/>
          <w:szCs w:val="18"/>
        </w:rPr>
        <w:t xml:space="preserve">condizioneranno l’andamento delle attività per l’intero </w:t>
      </w:r>
      <w:proofErr w:type="spellStart"/>
      <w:r>
        <w:rPr>
          <w:rStyle w:val="Enfasigrassetto"/>
          <w:rFonts w:ascii="Verdana" w:hAnsi="Verdana"/>
          <w:sz w:val="18"/>
          <w:szCs w:val="18"/>
        </w:rPr>
        <w:t>a.s</w:t>
      </w:r>
      <w:r>
        <w:rPr>
          <w:rFonts w:ascii="Verdana" w:hAnsi="Verdana"/>
          <w:sz w:val="18"/>
          <w:szCs w:val="18"/>
        </w:rPr>
        <w:t>.</w:t>
      </w:r>
      <w:proofErr w:type="spellEnd"/>
      <w:r>
        <w:rPr>
          <w:rFonts w:ascii="Verdana" w:hAnsi="Verdana"/>
          <w:sz w:val="18"/>
          <w:szCs w:val="18"/>
        </w:rPr>
        <w:t xml:space="preserve"> e una volta approvate non sarà possibile tornarci sopra.</w:t>
      </w:r>
    </w:p>
    <w:p w:rsidR="00974A09" w:rsidRDefault="00974A09" w:rsidP="00974A09">
      <w:pPr>
        <w:pStyle w:val="NormaleWeb"/>
        <w:spacing w:before="90" w:beforeAutospacing="0" w:after="90" w:afterAutospacing="0"/>
        <w:jc w:val="both"/>
        <w:rPr>
          <w:rFonts w:ascii="Verdana" w:hAnsi="Verdana"/>
          <w:sz w:val="18"/>
          <w:szCs w:val="18"/>
        </w:rPr>
      </w:pPr>
      <w:r>
        <w:rPr>
          <w:rFonts w:ascii="Verdana" w:hAnsi="Verdana"/>
          <w:sz w:val="18"/>
          <w:szCs w:val="18"/>
        </w:rPr>
        <w:t>Inoltre, ricordiamo che l’avvio dell’a.s. è in alto mare, data anche la tempistica di ruoli (entro il 15/9) e, conseguentemente, degli incarichi a tempo determinato. I ricorsi pendono su tutti gli incarichi che verranno conferiti e quindi il collegio non è al completo. Sarebbe opportuno e rispettoso di tutto l’organico dell’autonomia deliberare con il collegio intero.</w:t>
      </w:r>
    </w:p>
    <w:p w:rsidR="00974A09" w:rsidRDefault="00974A09" w:rsidP="00974A09">
      <w:pPr>
        <w:pStyle w:val="NormaleWeb"/>
        <w:spacing w:before="90" w:beforeAutospacing="0" w:after="90" w:afterAutospacing="0"/>
        <w:jc w:val="both"/>
        <w:rPr>
          <w:rFonts w:ascii="Verdana" w:hAnsi="Verdana"/>
          <w:sz w:val="18"/>
          <w:szCs w:val="18"/>
        </w:rPr>
      </w:pPr>
      <w:r>
        <w:rPr>
          <w:rFonts w:ascii="Verdana" w:hAnsi="Verdana"/>
          <w:sz w:val="18"/>
          <w:szCs w:val="18"/>
        </w:rPr>
        <w:t>Saluti</w:t>
      </w:r>
    </w:p>
    <w:p w:rsidR="00974A09" w:rsidRDefault="00974A09" w:rsidP="00974A09">
      <w:pPr>
        <w:pStyle w:val="NormaleWeb"/>
        <w:spacing w:before="90" w:beforeAutospacing="0" w:after="90" w:afterAutospacing="0"/>
        <w:jc w:val="both"/>
        <w:rPr>
          <w:rFonts w:ascii="Verdana" w:hAnsi="Verdana"/>
          <w:sz w:val="18"/>
          <w:szCs w:val="18"/>
        </w:rPr>
      </w:pPr>
      <w:r>
        <w:rPr>
          <w:rFonts w:ascii="Verdana" w:hAnsi="Verdana"/>
          <w:sz w:val="18"/>
          <w:szCs w:val="18"/>
        </w:rPr>
        <w:t>La segreteria FLC CGIL Toscana               </w:t>
      </w:r>
    </w:p>
    <w:p w:rsidR="00974A09" w:rsidRDefault="00974A09" w:rsidP="00974A09">
      <w:pPr>
        <w:pStyle w:val="NormaleWeb"/>
        <w:spacing w:before="0" w:beforeAutospacing="0"/>
        <w:jc w:val="both"/>
        <w:rPr>
          <w:rFonts w:ascii="Verdana" w:hAnsi="Verdana"/>
          <w:sz w:val="18"/>
          <w:szCs w:val="18"/>
        </w:rPr>
      </w:pPr>
      <w:r>
        <w:rPr>
          <w:rFonts w:ascii="Verdana" w:hAnsi="Verdana"/>
          <w:sz w:val="18"/>
          <w:szCs w:val="18"/>
        </w:rPr>
        <w:t>--</w:t>
      </w:r>
      <w:r>
        <w:rPr>
          <w:rFonts w:ascii="Verdana" w:hAnsi="Verdana"/>
          <w:sz w:val="18"/>
          <w:szCs w:val="18"/>
        </w:rPr>
        <w:br/>
        <w:t>FLC-CGIL Toscana</w:t>
      </w:r>
      <w:r>
        <w:rPr>
          <w:rFonts w:ascii="Verdana" w:hAnsi="Verdana"/>
          <w:sz w:val="18"/>
          <w:szCs w:val="18"/>
        </w:rPr>
        <w:br/>
        <w:t>=============================</w:t>
      </w:r>
      <w:r>
        <w:rPr>
          <w:rFonts w:ascii="Verdana" w:hAnsi="Verdana"/>
          <w:sz w:val="18"/>
          <w:szCs w:val="18"/>
        </w:rPr>
        <w:br/>
      </w:r>
      <w:hyperlink r:id="rId9" w:tgtFrame="_blank" w:history="1">
        <w:r>
          <w:rPr>
            <w:rStyle w:val="Collegamentoipertestuale"/>
            <w:rFonts w:ascii="Verdana" w:hAnsi="Verdana"/>
            <w:sz w:val="18"/>
            <w:szCs w:val="18"/>
          </w:rPr>
          <w:t>http://www.flc-toscana.it/</w:t>
        </w:r>
      </w:hyperlink>
      <w:r>
        <w:rPr>
          <w:rFonts w:ascii="Verdana" w:hAnsi="Verdana"/>
          <w:sz w:val="18"/>
          <w:szCs w:val="18"/>
        </w:rPr>
        <w:t xml:space="preserve"> - e-mail: </w:t>
      </w:r>
      <w:hyperlink r:id="rId10" w:tgtFrame="_blank" w:history="1">
        <w:r>
          <w:rPr>
            <w:rStyle w:val="Collegamentoipertestuale"/>
            <w:rFonts w:ascii="Verdana" w:hAnsi="Verdana"/>
            <w:sz w:val="18"/>
            <w:szCs w:val="18"/>
          </w:rPr>
          <w:t>toscana@flcgil.it</w:t>
        </w:r>
      </w:hyperlink>
      <w:r>
        <w:rPr>
          <w:rFonts w:ascii="Verdana" w:hAnsi="Verdana"/>
          <w:sz w:val="18"/>
          <w:szCs w:val="18"/>
        </w:rPr>
        <w:t xml:space="preserve"> - </w:t>
      </w:r>
      <w:r>
        <w:rPr>
          <w:rFonts w:ascii="Verdana" w:hAnsi="Verdana"/>
          <w:noProof/>
          <w:sz w:val="18"/>
          <w:szCs w:val="18"/>
        </w:rPr>
        <w:drawing>
          <wp:inline distT="0" distB="0" distL="0" distR="0">
            <wp:extent cx="152400" cy="152400"/>
            <wp:effectExtent l="0" t="0" r="0" b="0"/>
            <wp:docPr id="1" name="Immagine 1" descr="Icona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a 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tgtFrame="_blank" w:history="1">
        <w:r>
          <w:rPr>
            <w:rStyle w:val="Collegamentoipertestuale"/>
            <w:rFonts w:ascii="Verdana" w:hAnsi="Verdana"/>
            <w:sz w:val="18"/>
            <w:szCs w:val="18"/>
          </w:rPr>
          <w:t>https://www.facebook.com/FlcCgilToscana</w:t>
        </w:r>
        <w:r>
          <w:rPr>
            <w:rFonts w:ascii="Verdana" w:hAnsi="Verdana"/>
            <w:color w:val="0000FF"/>
            <w:sz w:val="18"/>
            <w:szCs w:val="18"/>
            <w:u w:val="single"/>
          </w:rPr>
          <w:br/>
        </w:r>
      </w:hyperlink>
      <w:r>
        <w:rPr>
          <w:rFonts w:ascii="Verdana" w:hAnsi="Verdana"/>
          <w:sz w:val="18"/>
          <w:szCs w:val="18"/>
        </w:rPr>
        <w:t>Via Pier Capponi, n. 7 – 50132 Firenze - tel. 055.50.36.249 - fax 055.50.36.270</w:t>
      </w:r>
    </w:p>
    <w:p w:rsidR="00204F39" w:rsidRDefault="00204F39" w:rsidP="00204F39">
      <w:bookmarkStart w:id="0" w:name="_GoBack"/>
      <w:bookmarkEnd w:id="0"/>
    </w:p>
    <w:p w:rsidR="00204F39" w:rsidRPr="00204F39" w:rsidRDefault="00204F39" w:rsidP="00204F39"/>
    <w:sectPr w:rsidR="00204F39" w:rsidRPr="00204F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204F39"/>
    <w:rsid w:val="00530299"/>
    <w:rsid w:val="00974A09"/>
    <w:rsid w:val="009871D5"/>
    <w:rsid w:val="00BD7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scana@flcgil.it" TargetMode="External"/><Relationship Id="rId12" Type="http://schemas.openxmlformats.org/officeDocument/2006/relationships/hyperlink" Target="https://www.facebook.com/FlcCgilToscan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lc-toscana.it"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mailto:toscana@flcgil.it" TargetMode="External"/><Relationship Id="rId4" Type="http://schemas.openxmlformats.org/officeDocument/2006/relationships/webSettings" Target="webSettings.xml"/><Relationship Id="rId9" Type="http://schemas.openxmlformats.org/officeDocument/2006/relationships/hyperlink" Target="http://www.flc-toscan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420</Words>
  <Characters>2395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3</cp:revision>
  <dcterms:created xsi:type="dcterms:W3CDTF">2016-09-05T06:04:00Z</dcterms:created>
  <dcterms:modified xsi:type="dcterms:W3CDTF">2016-09-05T06:22:00Z</dcterms:modified>
</cp:coreProperties>
</file>