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E788A" w14:textId="18FF0622" w:rsidR="00F865D4" w:rsidRDefault="00BC639E" w:rsidP="00BC639E">
      <w:pPr>
        <w:jc w:val="center"/>
      </w:pPr>
      <w:r>
        <w:t>INFORMAZIONI DA</w:t>
      </w:r>
      <w:bookmarkStart w:id="0" w:name="_GoBack"/>
      <w:bookmarkEnd w:id="0"/>
      <w:r>
        <w:t xml:space="preserve"> INVIARE A </w:t>
      </w:r>
      <w:hyperlink r:id="rId5" w:history="1">
        <w:r w:rsidR="00CC7012" w:rsidRPr="004F1320">
          <w:rPr>
            <w:rStyle w:val="Collegamentoipertestuale"/>
          </w:rPr>
          <w:t>irsef.irfed@gmail.com</w:t>
        </w:r>
      </w:hyperlink>
      <w:r>
        <w:t xml:space="preserve"> PER L’INSERIMENTO NELLA PIATTAFORMA SOPHIA DI CORSI DI FORMAZIONE RIVOLTI A DOCENTI</w:t>
      </w:r>
    </w:p>
    <w:p w14:paraId="60507164" w14:textId="77777777" w:rsidR="00BC639E" w:rsidRDefault="00BC639E" w:rsidP="00BC639E">
      <w:pPr>
        <w:jc w:val="center"/>
      </w:pPr>
    </w:p>
    <w:p w14:paraId="146A7F66" w14:textId="67E89606" w:rsidR="00BC639E" w:rsidRPr="00BC639E" w:rsidRDefault="00BC639E" w:rsidP="00FD0133">
      <w:pPr>
        <w:jc w:val="both"/>
        <w:rPr>
          <w:rFonts w:cstheme="minorHAnsi"/>
          <w:b/>
          <w:color w:val="FF0000"/>
        </w:rPr>
      </w:pPr>
      <w:r w:rsidRPr="00BC639E">
        <w:rPr>
          <w:rFonts w:cstheme="minorHAnsi"/>
          <w:b/>
          <w:color w:val="FF0000"/>
        </w:rPr>
        <w:t xml:space="preserve">Vi preghiamo di </w:t>
      </w:r>
      <w:r>
        <w:rPr>
          <w:rFonts w:cstheme="minorHAnsi"/>
          <w:b/>
          <w:color w:val="FF0000"/>
        </w:rPr>
        <w:t xml:space="preserve">completare i campi e </w:t>
      </w:r>
      <w:r w:rsidRPr="00BC639E">
        <w:rPr>
          <w:rFonts w:cstheme="minorHAnsi"/>
          <w:b/>
          <w:color w:val="FF0000"/>
        </w:rPr>
        <w:t>allegare i file richiesti nel modulo</w:t>
      </w:r>
    </w:p>
    <w:p w14:paraId="54A623F3" w14:textId="77777777" w:rsidR="00BC639E" w:rsidRDefault="00BC639E" w:rsidP="00FD0133">
      <w:pPr>
        <w:jc w:val="both"/>
        <w:rPr>
          <w:rFonts w:cstheme="minorHAnsi"/>
          <w:b/>
        </w:rPr>
      </w:pPr>
    </w:p>
    <w:p w14:paraId="018337CE" w14:textId="77777777" w:rsidR="00FD0133" w:rsidRDefault="00FD0133" w:rsidP="00FD0133">
      <w:pPr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Titolo: </w:t>
      </w:r>
    </w:p>
    <w:p w14:paraId="14ED22AA" w14:textId="77777777" w:rsidR="00C33ACE" w:rsidRPr="00126B37" w:rsidRDefault="00C33ACE" w:rsidP="00FD0133">
      <w:pPr>
        <w:jc w:val="both"/>
        <w:rPr>
          <w:rFonts w:cstheme="minorHAnsi"/>
        </w:rPr>
      </w:pPr>
    </w:p>
    <w:p w14:paraId="22007C01" w14:textId="77777777" w:rsidR="00FD0133" w:rsidRDefault="00FD0133" w:rsidP="00FD0133">
      <w:pPr>
        <w:jc w:val="both"/>
        <w:rPr>
          <w:rFonts w:cstheme="minorHAnsi"/>
        </w:rPr>
      </w:pPr>
      <w:r w:rsidRPr="00126B37">
        <w:rPr>
          <w:rFonts w:cstheme="minorHAnsi"/>
          <w:b/>
        </w:rPr>
        <w:t xml:space="preserve">Descrizione: </w:t>
      </w:r>
      <w:r w:rsidR="00F865D4">
        <w:rPr>
          <w:rFonts w:cstheme="minorHAnsi"/>
          <w:b/>
        </w:rPr>
        <w:t>(</w:t>
      </w:r>
      <w:r w:rsidR="00F865D4" w:rsidRPr="00F865D4">
        <w:rPr>
          <w:rFonts w:cstheme="minorHAnsi"/>
        </w:rPr>
        <w:t>es.</w:t>
      </w:r>
      <w:r w:rsidR="00F865D4">
        <w:rPr>
          <w:rFonts w:cstheme="minorHAnsi"/>
          <w:b/>
        </w:rPr>
        <w:t xml:space="preserve"> </w:t>
      </w:r>
      <w:r w:rsidRPr="00126B37">
        <w:rPr>
          <w:rFonts w:cstheme="minorHAnsi"/>
        </w:rPr>
        <w:t>Corso di alfabetizzazione digitale</w:t>
      </w:r>
      <w:r w:rsidR="00DB43E2">
        <w:rPr>
          <w:rFonts w:cstheme="minorHAnsi"/>
        </w:rPr>
        <w:t>…</w:t>
      </w:r>
      <w:r w:rsidR="00F865D4">
        <w:rPr>
          <w:rFonts w:cstheme="minorHAnsi"/>
        </w:rPr>
        <w:t>)</w:t>
      </w:r>
    </w:p>
    <w:p w14:paraId="07A2059D" w14:textId="77777777" w:rsidR="00BC3314" w:rsidRPr="00126B37" w:rsidRDefault="00BC3314" w:rsidP="00FD0133">
      <w:pPr>
        <w:jc w:val="both"/>
        <w:rPr>
          <w:rFonts w:cstheme="minorHAnsi"/>
        </w:rPr>
      </w:pPr>
    </w:p>
    <w:p w14:paraId="685796BE" w14:textId="77777777" w:rsidR="00C33ACE" w:rsidRDefault="00FD0133" w:rsidP="00FD0133">
      <w:pPr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Anno </w:t>
      </w:r>
      <w:r w:rsidR="00BC3314">
        <w:rPr>
          <w:rFonts w:cstheme="minorHAnsi"/>
          <w:b/>
        </w:rPr>
        <w:t xml:space="preserve">scolastico </w:t>
      </w:r>
      <w:r w:rsidRPr="00126B37">
        <w:rPr>
          <w:rFonts w:cstheme="minorHAnsi"/>
          <w:b/>
        </w:rPr>
        <w:t xml:space="preserve">di svolgimento: </w:t>
      </w:r>
    </w:p>
    <w:p w14:paraId="6DBE0F71" w14:textId="033EDFB4" w:rsidR="00FD0133" w:rsidRPr="00126B37" w:rsidRDefault="00FD0133" w:rsidP="00FD0133">
      <w:pPr>
        <w:jc w:val="both"/>
        <w:rPr>
          <w:rFonts w:cstheme="minorHAnsi"/>
        </w:rPr>
      </w:pPr>
      <w:r w:rsidRPr="00126B37">
        <w:rPr>
          <w:rFonts w:cstheme="minorHAnsi"/>
        </w:rPr>
        <w:t xml:space="preserve"> </w:t>
      </w:r>
    </w:p>
    <w:p w14:paraId="2F635B79" w14:textId="77777777" w:rsidR="00AF46A2" w:rsidRDefault="00FD0133" w:rsidP="00FD0133">
      <w:pPr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Ambiti specifici: </w:t>
      </w:r>
      <w:r w:rsidR="00BC3314" w:rsidRPr="00BC3314">
        <w:rPr>
          <w:rFonts w:cstheme="minorHAnsi"/>
        </w:rPr>
        <w:t>(indicare con un segno di spunta)</w:t>
      </w:r>
    </w:p>
    <w:p w14:paraId="11B9051B" w14:textId="652C6EA3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TitilliumWeb-Regular" w:hAnsi="TitilliumWeb-Regular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Educazione alla cultura economica</w:t>
      </w:r>
    </w:p>
    <w:p w14:paraId="02058F9D" w14:textId="1140AA29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Orientamento e Dispersione scolastica</w:t>
      </w:r>
    </w:p>
    <w:p w14:paraId="2A63335B" w14:textId="5B84A91B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Bisogni individuali e sociali dello studente</w:t>
      </w:r>
    </w:p>
    <w:p w14:paraId="3AB6022D" w14:textId="5784B956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Problemi della valutazione individuale e di sistema</w:t>
      </w:r>
    </w:p>
    <w:p w14:paraId="737E5A34" w14:textId="7F72EA9C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Alternanza scuola-lavoro</w:t>
      </w:r>
    </w:p>
    <w:p w14:paraId="51575F45" w14:textId="5A08CF7C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Inclusione scolastica e sociale</w:t>
      </w:r>
    </w:p>
    <w:p w14:paraId="1FEEC6F1" w14:textId="451DF6F2" w:rsidR="00BC3314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6"/>
          <w:szCs w:val="26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Dialogo interculturale e interreligioso</w:t>
      </w:r>
    </w:p>
    <w:p w14:paraId="2652BC1B" w14:textId="30FB093D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Gestione della classe e problematiche relazionali</w:t>
      </w:r>
    </w:p>
    <w:p w14:paraId="4F072642" w14:textId="354F81C3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 xml:space="preserve">Conoscenza e rispetto della </w:t>
      </w:r>
      <w:proofErr w:type="spellStart"/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realta'</w:t>
      </w:r>
      <w:proofErr w:type="spellEnd"/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 xml:space="preserve"> naturale e ambientale</w:t>
      </w:r>
    </w:p>
    <w:p w14:paraId="605392A2" w14:textId="03C7C344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Tutela della salute e sicurezza nei luoghi di lavoro</w:t>
      </w:r>
    </w:p>
    <w:p w14:paraId="012D36D5" w14:textId="4A954828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Sviluppo della cultura digitale ed educazione ai media</w:t>
      </w:r>
    </w:p>
    <w:p w14:paraId="3E9D4506" w14:textId="38B7A153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6"/>
          <w:szCs w:val="26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1E1167">
        <w:rPr>
          <w:rFonts w:ascii="TitilliumWeb-Regular" w:hAnsi="TitilliumWeb-Regular" w:cs="TitilliumWeb-Regular"/>
          <w:color w:val="262626"/>
          <w:sz w:val="26"/>
          <w:szCs w:val="26"/>
        </w:rPr>
        <w:t>Cittadinanza attiva e legalità</w:t>
      </w:r>
    </w:p>
    <w:p w14:paraId="326DC123" w14:textId="6C9C1772" w:rsidR="00D6066F" w:rsidRDefault="0072388D" w:rsidP="00D6066F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D6066F">
        <w:rPr>
          <w:rFonts w:ascii="TitilliumWeb-Regular" w:hAnsi="TitilliumWeb-Regular" w:cs="TitilliumWeb-Regular"/>
          <w:color w:val="262626"/>
          <w:sz w:val="26"/>
          <w:szCs w:val="26"/>
        </w:rPr>
        <w:t>Didattica delle singole discipline previste dagli ordinament</w:t>
      </w:r>
      <w:r>
        <w:rPr>
          <w:rFonts w:ascii="TitilliumWeb-Regular" w:hAnsi="TitilliumWeb-Regular" w:cs="TitilliumWeb-Regular"/>
          <w:color w:val="262626"/>
          <w:sz w:val="26"/>
          <w:szCs w:val="26"/>
        </w:rPr>
        <w:t>i</w:t>
      </w:r>
    </w:p>
    <w:p w14:paraId="3797255F" w14:textId="77777777" w:rsidR="00BC3314" w:rsidRDefault="00BC3314" w:rsidP="00FD0133">
      <w:pPr>
        <w:jc w:val="both"/>
        <w:rPr>
          <w:rFonts w:cstheme="minorHAnsi"/>
          <w:b/>
        </w:rPr>
      </w:pPr>
    </w:p>
    <w:p w14:paraId="3C817631" w14:textId="77777777" w:rsidR="00AF46A2" w:rsidRDefault="00FD0133" w:rsidP="00FD0133">
      <w:pPr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Ambiti trasversali: </w:t>
      </w:r>
      <w:r w:rsidR="00BC3314" w:rsidRPr="00BC3314">
        <w:rPr>
          <w:rFonts w:cstheme="minorHAnsi"/>
        </w:rPr>
        <w:t>(indicare con un segno di spunta)</w:t>
      </w:r>
    </w:p>
    <w:p w14:paraId="4DA016FB" w14:textId="143B62E1" w:rsidR="00BC3314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Didattica e metodologie</w:t>
      </w:r>
    </w:p>
    <w:p w14:paraId="119E8B94" w14:textId="3799F779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Metodologie e attività laboratoriali</w:t>
      </w:r>
    </w:p>
    <w:p w14:paraId="0A5D71EE" w14:textId="27408C13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Innovazione didattica e didattica digitale</w:t>
      </w:r>
    </w:p>
    <w:p w14:paraId="3DE85DAD" w14:textId="2C3CBB48" w:rsidR="00AF46A2" w:rsidRDefault="0072388D" w:rsidP="00AF46A2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6"/>
          <w:szCs w:val="26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AF46A2">
        <w:rPr>
          <w:rFonts w:ascii="TitilliumWeb-Regular" w:hAnsi="TitilliumWeb-Regular" w:cs="TitilliumWeb-Regular"/>
          <w:color w:val="262626"/>
          <w:sz w:val="26"/>
          <w:szCs w:val="26"/>
        </w:rPr>
        <w:t>Didattica per competenze e competenze trasversali</w:t>
      </w:r>
    </w:p>
    <w:p w14:paraId="165E81C1" w14:textId="09B96955" w:rsidR="00D6066F" w:rsidRDefault="0072388D" w:rsidP="00D6066F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 w:val="28"/>
          <w:szCs w:val="28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D6066F">
        <w:rPr>
          <w:rFonts w:ascii="TitilliumWeb-Regular" w:hAnsi="TitilliumWeb-Regular" w:cs="TitilliumWeb-Regular"/>
          <w:color w:val="262626"/>
          <w:sz w:val="26"/>
          <w:szCs w:val="26"/>
        </w:rPr>
        <w:t xml:space="preserve">Gli apprendimenti </w:t>
      </w:r>
    </w:p>
    <w:p w14:paraId="42A47CAA" w14:textId="77777777" w:rsidR="00D6066F" w:rsidRDefault="00D6066F" w:rsidP="00F865D4">
      <w:pPr>
        <w:suppressAutoHyphens/>
        <w:jc w:val="both"/>
        <w:rPr>
          <w:rFonts w:cstheme="minorHAnsi"/>
        </w:rPr>
      </w:pPr>
    </w:p>
    <w:p w14:paraId="3B4F5E66" w14:textId="77777777" w:rsidR="00FD0133" w:rsidRPr="00126B37" w:rsidRDefault="00FD0133" w:rsidP="00F865D4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 xml:space="preserve">Obiettivi: </w:t>
      </w:r>
    </w:p>
    <w:p w14:paraId="6EE54452" w14:textId="77777777" w:rsidR="00FD0133" w:rsidRPr="00126B37" w:rsidRDefault="00FD0133" w:rsidP="00FD0133">
      <w:pPr>
        <w:jc w:val="both"/>
        <w:rPr>
          <w:rFonts w:cstheme="minorHAnsi"/>
          <w:b/>
        </w:rPr>
      </w:pPr>
    </w:p>
    <w:p w14:paraId="6C7AF2C0" w14:textId="77777777" w:rsidR="00FD0133" w:rsidRPr="00126B37" w:rsidRDefault="00FD0133" w:rsidP="00FD0133">
      <w:pPr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>Programma</w:t>
      </w:r>
      <w:r w:rsidR="00F865D4">
        <w:rPr>
          <w:rFonts w:cstheme="minorHAnsi"/>
          <w:b/>
        </w:rPr>
        <w:t xml:space="preserve"> del corso </w:t>
      </w:r>
      <w:r w:rsidR="00F865D4" w:rsidRPr="00F865D4">
        <w:rPr>
          <w:rFonts w:cstheme="minorHAnsi"/>
        </w:rPr>
        <w:t>(articolazione)</w:t>
      </w:r>
    </w:p>
    <w:p w14:paraId="43BF9E6B" w14:textId="77777777" w:rsidR="00FD0133" w:rsidRPr="00126B37" w:rsidRDefault="00FD0133" w:rsidP="00F865D4">
      <w:pPr>
        <w:jc w:val="both"/>
        <w:rPr>
          <w:rFonts w:cstheme="minorHAnsi"/>
        </w:rPr>
      </w:pPr>
    </w:p>
    <w:p w14:paraId="292D53A7" w14:textId="60D04F07" w:rsidR="00FD0133" w:rsidRPr="00126B37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Link </w:t>
      </w:r>
      <w:r w:rsidR="00F865D4">
        <w:rPr>
          <w:rFonts w:cstheme="minorHAnsi"/>
          <w:b/>
        </w:rPr>
        <w:t xml:space="preserve">al </w:t>
      </w:r>
      <w:r w:rsidRPr="00126B37">
        <w:rPr>
          <w:rFonts w:cstheme="minorHAnsi"/>
          <w:b/>
        </w:rPr>
        <w:t>programma</w:t>
      </w:r>
      <w:r w:rsidR="00F865D4">
        <w:rPr>
          <w:rFonts w:cstheme="minorHAnsi"/>
          <w:b/>
        </w:rPr>
        <w:t xml:space="preserve"> del corso</w:t>
      </w:r>
      <w:r w:rsidR="00BC639E">
        <w:rPr>
          <w:rFonts w:cstheme="minorHAnsi"/>
          <w:b/>
        </w:rPr>
        <w:t>,</w:t>
      </w:r>
      <w:r w:rsidR="00F865D4">
        <w:rPr>
          <w:rFonts w:cstheme="minorHAnsi"/>
          <w:b/>
        </w:rPr>
        <w:t xml:space="preserve"> se pubblicato on line</w:t>
      </w:r>
    </w:p>
    <w:p w14:paraId="4AEEECE8" w14:textId="77777777" w:rsidR="006304AD" w:rsidRPr="00126B37" w:rsidRDefault="006304AD" w:rsidP="00FD0133">
      <w:pPr>
        <w:suppressAutoHyphens/>
        <w:jc w:val="both"/>
        <w:rPr>
          <w:rFonts w:cstheme="minorHAnsi"/>
        </w:rPr>
      </w:pPr>
    </w:p>
    <w:p w14:paraId="4B0365CF" w14:textId="77777777" w:rsidR="00FD0133" w:rsidRDefault="00FD0133" w:rsidP="00FD0133">
      <w:pPr>
        <w:suppressAutoHyphens/>
        <w:jc w:val="both"/>
        <w:rPr>
          <w:rFonts w:cstheme="minorHAnsi"/>
        </w:rPr>
      </w:pPr>
      <w:r>
        <w:rPr>
          <w:rFonts w:cstheme="minorHAnsi"/>
          <w:b/>
        </w:rPr>
        <w:t xml:space="preserve">File </w:t>
      </w:r>
      <w:r w:rsidR="00DB43E2">
        <w:rPr>
          <w:rFonts w:cstheme="minorHAnsi"/>
          <w:b/>
        </w:rPr>
        <w:t xml:space="preserve">del </w:t>
      </w:r>
      <w:r>
        <w:rPr>
          <w:rFonts w:cstheme="minorHAnsi"/>
          <w:b/>
        </w:rPr>
        <w:t xml:space="preserve">programma </w:t>
      </w:r>
      <w:r w:rsidR="00DB43E2" w:rsidRPr="00BC3314">
        <w:rPr>
          <w:rFonts w:cstheme="minorHAnsi"/>
          <w:b/>
        </w:rPr>
        <w:t>del corso</w:t>
      </w:r>
      <w:r w:rsidR="00DB43E2">
        <w:rPr>
          <w:rFonts w:cstheme="minorHAnsi"/>
        </w:rPr>
        <w:t xml:space="preserve"> </w:t>
      </w:r>
      <w:r w:rsidRPr="00BC639E">
        <w:rPr>
          <w:rFonts w:cstheme="minorHAnsi"/>
          <w:color w:val="FF0000"/>
        </w:rPr>
        <w:t>(</w:t>
      </w:r>
      <w:r w:rsidR="00DB43E2" w:rsidRPr="00BC639E">
        <w:rPr>
          <w:rFonts w:cstheme="minorHAnsi"/>
          <w:color w:val="FF0000"/>
        </w:rPr>
        <w:t xml:space="preserve">deve essere </w:t>
      </w:r>
      <w:r w:rsidRPr="00BC639E">
        <w:rPr>
          <w:rFonts w:cstheme="minorHAnsi"/>
          <w:color w:val="FF0000"/>
        </w:rPr>
        <w:t xml:space="preserve">allegato) </w:t>
      </w:r>
    </w:p>
    <w:p w14:paraId="5C6594C2" w14:textId="77777777" w:rsidR="006304AD" w:rsidRPr="0087431B" w:rsidRDefault="006304AD" w:rsidP="00FD0133">
      <w:pPr>
        <w:suppressAutoHyphens/>
        <w:jc w:val="both"/>
        <w:rPr>
          <w:rFonts w:cstheme="minorHAnsi"/>
        </w:rPr>
      </w:pPr>
    </w:p>
    <w:p w14:paraId="4008B928" w14:textId="77777777" w:rsidR="00FD0133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>Mappatura delle competenze</w:t>
      </w:r>
      <w:r w:rsidR="006304AD">
        <w:rPr>
          <w:rFonts w:cstheme="minorHAnsi"/>
          <w:b/>
        </w:rPr>
        <w:t xml:space="preserve"> </w:t>
      </w:r>
      <w:r w:rsidR="006304AD" w:rsidRPr="006304AD">
        <w:rPr>
          <w:rFonts w:cstheme="minorHAnsi"/>
        </w:rPr>
        <w:t>(indicare le competenze trasversali e/o specifiche)</w:t>
      </w:r>
    </w:p>
    <w:p w14:paraId="29B415D7" w14:textId="77777777" w:rsidR="006304AD" w:rsidRPr="00126B37" w:rsidRDefault="006304AD" w:rsidP="00FD0133">
      <w:pPr>
        <w:suppressAutoHyphens/>
        <w:jc w:val="both"/>
        <w:rPr>
          <w:rFonts w:cstheme="minorHAnsi"/>
          <w:b/>
        </w:rPr>
      </w:pPr>
    </w:p>
    <w:p w14:paraId="7CB69891" w14:textId="77777777" w:rsidR="00FD0133" w:rsidRPr="00126B37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>Destinatari</w:t>
      </w:r>
      <w:r w:rsidR="006304AD">
        <w:rPr>
          <w:rFonts w:cstheme="minorHAnsi"/>
          <w:b/>
        </w:rPr>
        <w:t xml:space="preserve"> </w:t>
      </w:r>
      <w:r w:rsidR="006304AD" w:rsidRPr="006304AD">
        <w:rPr>
          <w:rFonts w:cstheme="minorHAnsi"/>
        </w:rPr>
        <w:t>(inserire un segno di spunta)</w:t>
      </w:r>
    </w:p>
    <w:p w14:paraId="0407ED1D" w14:textId="16B18E7E" w:rsidR="00FD0133" w:rsidRPr="00126B37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FD0133" w:rsidRPr="00126B37">
        <w:rPr>
          <w:rFonts w:cstheme="minorHAnsi"/>
        </w:rPr>
        <w:t>Docenti scuola infanzia</w:t>
      </w:r>
    </w:p>
    <w:p w14:paraId="3F201D85" w14:textId="7EC3C9BB" w:rsidR="00FD0133" w:rsidRPr="00126B37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FD0133" w:rsidRPr="00126B37">
        <w:rPr>
          <w:rFonts w:cstheme="minorHAnsi"/>
        </w:rPr>
        <w:t>Docenti scuola secondaria di primo grado</w:t>
      </w:r>
    </w:p>
    <w:p w14:paraId="4E1942B2" w14:textId="170FB117" w:rsidR="00FD0133" w:rsidRPr="00126B37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FD0133" w:rsidRPr="00126B37">
        <w:rPr>
          <w:rFonts w:cstheme="minorHAnsi"/>
        </w:rPr>
        <w:t>Docenti scuola primaria</w:t>
      </w:r>
    </w:p>
    <w:p w14:paraId="3A20762A" w14:textId="1619C075" w:rsidR="00FD0133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lastRenderedPageBreak/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FD0133" w:rsidRPr="00126B37">
        <w:rPr>
          <w:rFonts w:cstheme="minorHAnsi"/>
        </w:rPr>
        <w:t xml:space="preserve">Docenti scuola secondaria </w:t>
      </w:r>
      <w:r w:rsidR="00FD0133">
        <w:rPr>
          <w:rFonts w:cstheme="minorHAnsi"/>
        </w:rPr>
        <w:t xml:space="preserve">di </w:t>
      </w:r>
      <w:r w:rsidR="00FD0133" w:rsidRPr="00126B37">
        <w:rPr>
          <w:rFonts w:cstheme="minorHAnsi"/>
        </w:rPr>
        <w:t>secondo grado</w:t>
      </w:r>
    </w:p>
    <w:p w14:paraId="0A61F863" w14:textId="11D5DC1B" w:rsidR="00D6066F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D6066F">
        <w:rPr>
          <w:rFonts w:cstheme="minorHAnsi"/>
        </w:rPr>
        <w:t>Dirigenti scolastici</w:t>
      </w:r>
    </w:p>
    <w:p w14:paraId="6B829A3F" w14:textId="7497E44B" w:rsidR="00D6066F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D6066F">
        <w:rPr>
          <w:rFonts w:cstheme="minorHAnsi"/>
        </w:rPr>
        <w:t>Personale ATA</w:t>
      </w:r>
    </w:p>
    <w:p w14:paraId="0C644A24" w14:textId="77777777" w:rsidR="006304AD" w:rsidRPr="00126B37" w:rsidRDefault="006304AD" w:rsidP="00FD0133">
      <w:pPr>
        <w:suppressAutoHyphens/>
        <w:jc w:val="both"/>
        <w:rPr>
          <w:rFonts w:cstheme="minorHAnsi"/>
        </w:rPr>
      </w:pPr>
    </w:p>
    <w:p w14:paraId="7E7D063D" w14:textId="77777777" w:rsidR="00FD0133" w:rsidRPr="00126B37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Tipologie verifiche finali </w:t>
      </w:r>
      <w:r w:rsidR="00BC3314" w:rsidRPr="006304AD">
        <w:rPr>
          <w:rFonts w:cstheme="minorHAnsi"/>
        </w:rPr>
        <w:t>(inserire un segno di spunta)</w:t>
      </w:r>
    </w:p>
    <w:p w14:paraId="1D655716" w14:textId="5412173C" w:rsidR="006304AD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D6066F">
        <w:rPr>
          <w:rFonts w:cstheme="minorHAnsi"/>
        </w:rPr>
        <w:t>Questionario a risposte aperte</w:t>
      </w:r>
    </w:p>
    <w:p w14:paraId="53CAA375" w14:textId="36475EBA" w:rsidR="00D6066F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D6066F">
        <w:rPr>
          <w:rFonts w:cstheme="minorHAnsi"/>
        </w:rPr>
        <w:t>Test a risposta multipla</w:t>
      </w:r>
    </w:p>
    <w:p w14:paraId="1FEDAFC0" w14:textId="77777777" w:rsidR="00BC3314" w:rsidRDefault="00BC3314" w:rsidP="00FD0133">
      <w:pPr>
        <w:suppressAutoHyphens/>
        <w:jc w:val="both"/>
        <w:rPr>
          <w:rFonts w:cstheme="minorHAnsi"/>
        </w:rPr>
      </w:pPr>
    </w:p>
    <w:p w14:paraId="7C7C0FF8" w14:textId="77777777" w:rsidR="00BC3314" w:rsidRPr="00BC3314" w:rsidRDefault="00BC3314" w:rsidP="00FD0133">
      <w:pPr>
        <w:suppressAutoHyphens/>
        <w:jc w:val="both"/>
        <w:rPr>
          <w:rFonts w:cstheme="minorHAnsi"/>
          <w:b/>
        </w:rPr>
      </w:pPr>
      <w:r w:rsidRPr="00BC3314">
        <w:rPr>
          <w:rFonts w:cstheme="minorHAnsi"/>
          <w:b/>
        </w:rPr>
        <w:t>Altre modalità di verifica</w:t>
      </w:r>
      <w:r>
        <w:rPr>
          <w:rFonts w:cstheme="minorHAnsi"/>
          <w:b/>
        </w:rPr>
        <w:t xml:space="preserve"> </w:t>
      </w:r>
      <w:r w:rsidRPr="00BC3314">
        <w:rPr>
          <w:rFonts w:cstheme="minorHAnsi"/>
        </w:rPr>
        <w:t>(eventualmente indicare)</w:t>
      </w:r>
    </w:p>
    <w:p w14:paraId="3E7D9847" w14:textId="77777777" w:rsidR="00D6066F" w:rsidRPr="00126B37" w:rsidRDefault="00D6066F" w:rsidP="00FD0133">
      <w:pPr>
        <w:suppressAutoHyphens/>
        <w:jc w:val="both"/>
        <w:rPr>
          <w:rFonts w:cstheme="minorHAnsi"/>
        </w:rPr>
      </w:pPr>
    </w:p>
    <w:p w14:paraId="7347A6F1" w14:textId="77777777" w:rsidR="00FD0133" w:rsidRPr="00126B37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>Direttore responsabile</w:t>
      </w:r>
    </w:p>
    <w:p w14:paraId="1EDC72E0" w14:textId="77777777" w:rsidR="006304AD" w:rsidRDefault="006304AD" w:rsidP="00FD0133">
      <w:pPr>
        <w:suppressAutoHyphens/>
        <w:jc w:val="both"/>
        <w:rPr>
          <w:rFonts w:cstheme="minorHAnsi"/>
        </w:rPr>
      </w:pPr>
    </w:p>
    <w:p w14:paraId="0A2FB0A7" w14:textId="0AC45F66" w:rsidR="006304AD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 xml:space="preserve">Qualifica </w:t>
      </w:r>
      <w:r w:rsidR="006304AD">
        <w:rPr>
          <w:rFonts w:cstheme="minorHAnsi"/>
          <w:b/>
        </w:rPr>
        <w:t xml:space="preserve">del direttore responsabile </w:t>
      </w:r>
      <w:r w:rsidR="00DB43E2" w:rsidRPr="00AF46A2">
        <w:rPr>
          <w:rFonts w:cstheme="minorHAnsi"/>
        </w:rPr>
        <w:t xml:space="preserve">(es. insegnante, </w:t>
      </w:r>
      <w:r w:rsidR="00AF46A2" w:rsidRPr="00AF46A2">
        <w:rPr>
          <w:rFonts w:cstheme="minorHAnsi"/>
        </w:rPr>
        <w:t>formatore, dirige</w:t>
      </w:r>
      <w:r w:rsidR="00BC639E">
        <w:rPr>
          <w:rFonts w:cstheme="minorHAnsi"/>
        </w:rPr>
        <w:t>nte scolastico, professore uni</w:t>
      </w:r>
      <w:r w:rsidR="00AF46A2" w:rsidRPr="00AF46A2">
        <w:rPr>
          <w:rFonts w:cstheme="minorHAnsi"/>
        </w:rPr>
        <w:t>versitario, ecc.)</w:t>
      </w:r>
    </w:p>
    <w:p w14:paraId="6298AFC3" w14:textId="77777777" w:rsidR="00BC3314" w:rsidRPr="00AF46A2" w:rsidRDefault="00BC3314" w:rsidP="00FD0133">
      <w:pPr>
        <w:suppressAutoHyphens/>
        <w:jc w:val="both"/>
        <w:rPr>
          <w:rFonts w:cstheme="minorHAnsi"/>
        </w:rPr>
      </w:pPr>
    </w:p>
    <w:p w14:paraId="169BB56B" w14:textId="317C77BA" w:rsidR="00FD0133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 xml:space="preserve">Cv </w:t>
      </w:r>
      <w:r w:rsidR="00BC639E">
        <w:rPr>
          <w:rFonts w:cstheme="minorHAnsi"/>
          <w:b/>
        </w:rPr>
        <w:t xml:space="preserve">del direttore responsabile </w:t>
      </w:r>
      <w:r w:rsidRPr="00BC639E">
        <w:rPr>
          <w:rFonts w:cstheme="minorHAnsi"/>
          <w:color w:val="FF0000"/>
        </w:rPr>
        <w:t>(</w:t>
      </w:r>
      <w:r w:rsidR="00DB43E2" w:rsidRPr="00BC639E">
        <w:rPr>
          <w:rFonts w:cstheme="minorHAnsi"/>
          <w:color w:val="FF0000"/>
        </w:rPr>
        <w:t xml:space="preserve">deve essere </w:t>
      </w:r>
      <w:r w:rsidRPr="00BC639E">
        <w:rPr>
          <w:rFonts w:cstheme="minorHAnsi"/>
          <w:color w:val="FF0000"/>
        </w:rPr>
        <w:t xml:space="preserve">allegato) </w:t>
      </w:r>
    </w:p>
    <w:p w14:paraId="6E8B7AB9" w14:textId="77777777" w:rsidR="00BC3314" w:rsidRPr="00BA16A0" w:rsidRDefault="00BC3314" w:rsidP="00FD0133">
      <w:pPr>
        <w:suppressAutoHyphens/>
        <w:jc w:val="both"/>
        <w:rPr>
          <w:rFonts w:cstheme="minorHAnsi"/>
        </w:rPr>
      </w:pPr>
    </w:p>
    <w:p w14:paraId="77EFF587" w14:textId="2F7CE530" w:rsidR="00FD0133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>Durata:</w:t>
      </w:r>
      <w:r w:rsidR="006304AD">
        <w:rPr>
          <w:rFonts w:cstheme="minorHAnsi"/>
        </w:rPr>
        <w:t xml:space="preserve"> (per i corsi sarebbe opportuno indicare almeno 20 ore</w:t>
      </w:r>
      <w:r w:rsidR="00BC639E">
        <w:rPr>
          <w:rFonts w:cstheme="minorHAnsi"/>
        </w:rPr>
        <w:t>,</w:t>
      </w:r>
      <w:r w:rsidR="006304AD">
        <w:rPr>
          <w:rFonts w:cstheme="minorHAnsi"/>
        </w:rPr>
        <w:t xml:space="preserve"> comprendendo eventuali ore erogate a distanza in modalità e</w:t>
      </w:r>
      <w:r w:rsidR="00BC639E">
        <w:rPr>
          <w:rFonts w:cstheme="minorHAnsi"/>
        </w:rPr>
        <w:t>-</w:t>
      </w:r>
      <w:r w:rsidR="006304AD">
        <w:rPr>
          <w:rFonts w:cstheme="minorHAnsi"/>
        </w:rPr>
        <w:t>learning</w:t>
      </w:r>
      <w:r w:rsidR="00BC639E">
        <w:rPr>
          <w:rFonts w:cstheme="minorHAnsi"/>
        </w:rPr>
        <w:t>, attività laboratoriali, attività di progettazione e produzione di materiali, sperimentazioni in classe, ecc.</w:t>
      </w:r>
      <w:r w:rsidR="0072388D">
        <w:rPr>
          <w:rFonts w:cstheme="minorHAnsi"/>
        </w:rPr>
        <w:t xml:space="preserve"> – non possono essere indicate meno di 4 ore</w:t>
      </w:r>
      <w:r w:rsidR="006304AD">
        <w:rPr>
          <w:rFonts w:cstheme="minorHAnsi"/>
        </w:rPr>
        <w:t>)</w:t>
      </w:r>
      <w:r w:rsidRPr="00126B37">
        <w:rPr>
          <w:rFonts w:cstheme="minorHAnsi"/>
        </w:rPr>
        <w:t xml:space="preserve"> </w:t>
      </w:r>
    </w:p>
    <w:p w14:paraId="4BAB32A7" w14:textId="77777777" w:rsidR="00DB43E2" w:rsidRPr="00126B37" w:rsidRDefault="00DB43E2" w:rsidP="00FD0133">
      <w:pPr>
        <w:suppressAutoHyphens/>
        <w:jc w:val="both"/>
        <w:rPr>
          <w:rFonts w:cstheme="minorHAnsi"/>
        </w:rPr>
      </w:pPr>
    </w:p>
    <w:p w14:paraId="01C31F31" w14:textId="11478D64" w:rsidR="00FD0133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>Frequenza necessaria</w:t>
      </w:r>
      <w:r w:rsidR="00DB43E2">
        <w:rPr>
          <w:rFonts w:cstheme="minorHAnsi"/>
          <w:b/>
        </w:rPr>
        <w:t xml:space="preserve"> per il rilascio della certificazione</w:t>
      </w:r>
      <w:r w:rsidR="00AF46A2">
        <w:rPr>
          <w:rFonts w:cstheme="minorHAnsi"/>
          <w:b/>
        </w:rPr>
        <w:t xml:space="preserve">: </w:t>
      </w:r>
      <w:r w:rsidR="00AF46A2" w:rsidRPr="00AF46A2">
        <w:rPr>
          <w:rFonts w:cstheme="minorHAnsi"/>
        </w:rPr>
        <w:t>(indicare il numero di ore</w:t>
      </w:r>
      <w:r w:rsidR="007C6D5D">
        <w:rPr>
          <w:rFonts w:cstheme="minorHAnsi"/>
        </w:rPr>
        <w:t xml:space="preserve">. Il minimo previsto dal </w:t>
      </w:r>
      <w:proofErr w:type="spellStart"/>
      <w:r w:rsidR="007C6D5D">
        <w:rPr>
          <w:rFonts w:cstheme="minorHAnsi"/>
        </w:rPr>
        <w:t>Miur</w:t>
      </w:r>
      <w:proofErr w:type="spellEnd"/>
      <w:r w:rsidR="007C6D5D">
        <w:rPr>
          <w:rFonts w:cstheme="minorHAnsi"/>
        </w:rPr>
        <w:t xml:space="preserve"> corrisponde al 75% delle ore totali del corso</w:t>
      </w:r>
      <w:r w:rsidR="00AF46A2" w:rsidRPr="00AF46A2">
        <w:rPr>
          <w:rFonts w:cstheme="minorHAnsi"/>
        </w:rPr>
        <w:t>)</w:t>
      </w:r>
      <w:r w:rsidRPr="00126B37">
        <w:rPr>
          <w:rFonts w:cstheme="minorHAnsi"/>
        </w:rPr>
        <w:t xml:space="preserve"> </w:t>
      </w:r>
    </w:p>
    <w:p w14:paraId="35904B35" w14:textId="77777777" w:rsidR="00BC3314" w:rsidRPr="00126B37" w:rsidRDefault="00BC3314" w:rsidP="00FD0133">
      <w:pPr>
        <w:suppressAutoHyphens/>
        <w:jc w:val="both"/>
        <w:rPr>
          <w:rFonts w:cstheme="minorHAnsi"/>
        </w:rPr>
      </w:pPr>
    </w:p>
    <w:p w14:paraId="7BA1F0C4" w14:textId="77777777" w:rsidR="00FD0133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>Carta del docente:</w:t>
      </w:r>
      <w:r w:rsidRPr="00126B37">
        <w:rPr>
          <w:rFonts w:cstheme="minorHAnsi"/>
        </w:rPr>
        <w:t xml:space="preserve"> si </w:t>
      </w:r>
      <w:r w:rsidR="00DB43E2">
        <w:rPr>
          <w:rFonts w:cstheme="minorHAnsi"/>
        </w:rPr>
        <w:t>/no</w:t>
      </w:r>
    </w:p>
    <w:p w14:paraId="0E9E8F1C" w14:textId="77777777" w:rsidR="00BC3314" w:rsidRPr="00126B37" w:rsidRDefault="00BC3314" w:rsidP="00FD0133">
      <w:pPr>
        <w:suppressAutoHyphens/>
        <w:jc w:val="both"/>
        <w:rPr>
          <w:rFonts w:cstheme="minorHAnsi"/>
        </w:rPr>
      </w:pPr>
    </w:p>
    <w:p w14:paraId="73E4DB0B" w14:textId="77777777" w:rsidR="00FD0133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>Costo a carico dei destinatari:</w:t>
      </w:r>
      <w:r w:rsidRPr="00126B37">
        <w:rPr>
          <w:rFonts w:cstheme="minorHAnsi"/>
        </w:rPr>
        <w:t xml:space="preserve"> </w:t>
      </w:r>
    </w:p>
    <w:p w14:paraId="2DB425D7" w14:textId="77777777" w:rsidR="00BC3314" w:rsidRPr="00126B37" w:rsidRDefault="00BC3314" w:rsidP="00FD0133">
      <w:pPr>
        <w:suppressAutoHyphens/>
        <w:jc w:val="both"/>
        <w:rPr>
          <w:rFonts w:cstheme="minorHAnsi"/>
        </w:rPr>
      </w:pPr>
    </w:p>
    <w:p w14:paraId="731C71DC" w14:textId="77777777" w:rsidR="00FD0133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>Unità formative:</w:t>
      </w:r>
    </w:p>
    <w:p w14:paraId="2548ED13" w14:textId="77777777" w:rsidR="00BC3314" w:rsidRDefault="00BC3314" w:rsidP="00FD0133">
      <w:pPr>
        <w:suppressAutoHyphens/>
        <w:jc w:val="both"/>
        <w:rPr>
          <w:rFonts w:cstheme="minorHAnsi"/>
        </w:rPr>
      </w:pPr>
    </w:p>
    <w:p w14:paraId="79BBB7F5" w14:textId="77777777" w:rsidR="00FD0133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Contatti: </w:t>
      </w:r>
    </w:p>
    <w:p w14:paraId="318D2BD7" w14:textId="77777777" w:rsidR="00BC3314" w:rsidRPr="00126B37" w:rsidRDefault="00BC3314" w:rsidP="00FD0133">
      <w:pPr>
        <w:suppressAutoHyphens/>
        <w:jc w:val="both"/>
        <w:rPr>
          <w:rFonts w:cstheme="minorHAnsi"/>
          <w:b/>
        </w:rPr>
      </w:pPr>
    </w:p>
    <w:p w14:paraId="0FD79812" w14:textId="65712605" w:rsidR="00FD0133" w:rsidRPr="00126B37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>Documentazione</w:t>
      </w:r>
      <w:r w:rsidR="00DB43E2">
        <w:rPr>
          <w:rFonts w:cstheme="minorHAnsi"/>
          <w:b/>
        </w:rPr>
        <w:t xml:space="preserve">: </w:t>
      </w:r>
      <w:r w:rsidR="00DB43E2" w:rsidRPr="00BC639E">
        <w:rPr>
          <w:rFonts w:cstheme="minorHAnsi"/>
          <w:b/>
          <w:color w:val="FF0000"/>
        </w:rPr>
        <w:t>(</w:t>
      </w:r>
      <w:r w:rsidR="00DB43E2" w:rsidRPr="00BC639E">
        <w:rPr>
          <w:rFonts w:cstheme="minorHAnsi"/>
          <w:color w:val="FF0000"/>
        </w:rPr>
        <w:t>es.</w:t>
      </w:r>
      <w:r w:rsidR="00B64D72" w:rsidRPr="00BC639E">
        <w:rPr>
          <w:rFonts w:cstheme="minorHAnsi"/>
          <w:color w:val="FF0000"/>
        </w:rPr>
        <w:t xml:space="preserve"> </w:t>
      </w:r>
      <w:r w:rsidR="00BC639E">
        <w:rPr>
          <w:rFonts w:cstheme="minorHAnsi"/>
          <w:color w:val="FF0000"/>
        </w:rPr>
        <w:t xml:space="preserve">allegare </w:t>
      </w:r>
      <w:r w:rsidR="00DB43E2" w:rsidRPr="00BC639E">
        <w:rPr>
          <w:rFonts w:cstheme="minorHAnsi"/>
          <w:color w:val="FF0000"/>
        </w:rPr>
        <w:t>brochure o altro materiale)</w:t>
      </w:r>
    </w:p>
    <w:p w14:paraId="5CF1B085" w14:textId="77777777" w:rsidR="00B64D72" w:rsidRDefault="00B64D72" w:rsidP="00FD0133">
      <w:pPr>
        <w:suppressAutoHyphens/>
        <w:jc w:val="both"/>
        <w:rPr>
          <w:rFonts w:cstheme="minorHAnsi"/>
          <w:b/>
        </w:rPr>
      </w:pPr>
    </w:p>
    <w:p w14:paraId="3F0DD12F" w14:textId="77777777" w:rsidR="00FD0133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>Apertura iscrizioni</w:t>
      </w:r>
      <w:r w:rsidRPr="00126B37">
        <w:rPr>
          <w:rFonts w:cstheme="minorHAnsi"/>
        </w:rPr>
        <w:t xml:space="preserve"> dal ……al </w:t>
      </w:r>
    </w:p>
    <w:p w14:paraId="1E18A65A" w14:textId="77777777" w:rsidR="00C33ACE" w:rsidRPr="00126B37" w:rsidRDefault="00C33ACE" w:rsidP="00FD0133">
      <w:pPr>
        <w:suppressAutoHyphens/>
        <w:jc w:val="both"/>
        <w:rPr>
          <w:rFonts w:cstheme="minorHAnsi"/>
        </w:rPr>
      </w:pPr>
    </w:p>
    <w:p w14:paraId="101EBD03" w14:textId="77777777" w:rsidR="00FD0133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>Svolgimento iniziativa</w:t>
      </w:r>
      <w:r w:rsidRPr="00126B37">
        <w:rPr>
          <w:rFonts w:cstheme="minorHAnsi"/>
        </w:rPr>
        <w:t xml:space="preserve"> </w:t>
      </w:r>
      <w:proofErr w:type="gramStart"/>
      <w:r w:rsidRPr="00126B37">
        <w:rPr>
          <w:rFonts w:cstheme="minorHAnsi"/>
        </w:rPr>
        <w:t>dal….</w:t>
      </w:r>
      <w:proofErr w:type="gramEnd"/>
      <w:r w:rsidRPr="00126B37">
        <w:rPr>
          <w:rFonts w:cstheme="minorHAnsi"/>
        </w:rPr>
        <w:t xml:space="preserve">al </w:t>
      </w:r>
    </w:p>
    <w:p w14:paraId="0645D3C4" w14:textId="77777777" w:rsidR="00DB43E2" w:rsidRDefault="00DB43E2" w:rsidP="00FD0133">
      <w:pPr>
        <w:suppressAutoHyphens/>
        <w:jc w:val="both"/>
        <w:rPr>
          <w:rFonts w:cstheme="minorHAnsi"/>
        </w:rPr>
      </w:pPr>
    </w:p>
    <w:p w14:paraId="3FD9B81B" w14:textId="77777777" w:rsidR="00FD0133" w:rsidRPr="00126B37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Modalità di erogazione </w:t>
      </w:r>
    </w:p>
    <w:p w14:paraId="1E78BC9A" w14:textId="77777777" w:rsidR="00FD0133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</w:rPr>
        <w:t>E-</w:t>
      </w:r>
      <w:proofErr w:type="gramStart"/>
      <w:r w:rsidRPr="00126B37">
        <w:rPr>
          <w:rFonts w:cstheme="minorHAnsi"/>
        </w:rPr>
        <w:t xml:space="preserve">learning </w:t>
      </w:r>
      <w:r w:rsidR="00DB43E2">
        <w:rPr>
          <w:rFonts w:cstheme="minorHAnsi"/>
        </w:rPr>
        <w:t xml:space="preserve"> -</w:t>
      </w:r>
      <w:proofErr w:type="gramEnd"/>
      <w:r w:rsidR="00DB43E2">
        <w:rPr>
          <w:rFonts w:cstheme="minorHAnsi"/>
        </w:rPr>
        <w:t xml:space="preserve"> in presenza, ecc.</w:t>
      </w:r>
    </w:p>
    <w:p w14:paraId="32B299C0" w14:textId="77777777" w:rsidR="00C33ACE" w:rsidRDefault="00C33ACE" w:rsidP="00FD0133">
      <w:pPr>
        <w:suppressAutoHyphens/>
        <w:jc w:val="both"/>
        <w:rPr>
          <w:rFonts w:cstheme="minorHAnsi"/>
        </w:rPr>
      </w:pPr>
    </w:p>
    <w:p w14:paraId="18E81CCA" w14:textId="77777777" w:rsidR="00DB43E2" w:rsidRPr="00126B37" w:rsidRDefault="00DB43E2" w:rsidP="00FD0133">
      <w:pPr>
        <w:suppressAutoHyphens/>
        <w:jc w:val="both"/>
        <w:rPr>
          <w:rFonts w:cstheme="minorHAnsi"/>
        </w:rPr>
      </w:pPr>
    </w:p>
    <w:p w14:paraId="1BA537BE" w14:textId="77777777" w:rsidR="00FD0133" w:rsidRPr="00126B37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>Materiali e tecnologie usati</w:t>
      </w:r>
    </w:p>
    <w:p w14:paraId="2C583D01" w14:textId="73905F0A" w:rsidR="00FD0133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FD0133">
        <w:rPr>
          <w:rFonts w:cstheme="minorHAnsi"/>
        </w:rPr>
        <w:t>Video</w:t>
      </w:r>
    </w:p>
    <w:p w14:paraId="5029260E" w14:textId="48A92A6C" w:rsidR="00FD0133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FD0133">
        <w:rPr>
          <w:rFonts w:cstheme="minorHAnsi"/>
        </w:rPr>
        <w:t xml:space="preserve">Pc </w:t>
      </w:r>
    </w:p>
    <w:p w14:paraId="55A5C6FE" w14:textId="0A448F66" w:rsidR="00FD0133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FD0133">
        <w:rPr>
          <w:rFonts w:cstheme="minorHAnsi"/>
        </w:rPr>
        <w:t>Web</w:t>
      </w:r>
    </w:p>
    <w:p w14:paraId="53CFEB4B" w14:textId="2C04CA76" w:rsidR="00FD0133" w:rsidRDefault="0072388D" w:rsidP="00FD0133">
      <w:pPr>
        <w:suppressAutoHyphens/>
        <w:jc w:val="both"/>
        <w:rPr>
          <w:rFonts w:cstheme="minorHAnsi"/>
        </w:rPr>
      </w:pPr>
      <w:r>
        <w:rPr>
          <w:rFonts w:ascii="Calibri" w:hAnsi="Calibri" w:cs="TitilliumWeb-Regular"/>
          <w:color w:val="262626"/>
          <w:sz w:val="26"/>
          <w:szCs w:val="26"/>
        </w:rPr>
        <w:t>□</w:t>
      </w:r>
      <w:r>
        <w:rPr>
          <w:rFonts w:ascii="Calibri" w:hAnsi="Calibri" w:cs="TitilliumWeb-Regular"/>
          <w:color w:val="262626"/>
          <w:sz w:val="26"/>
          <w:szCs w:val="26"/>
        </w:rPr>
        <w:t xml:space="preserve"> </w:t>
      </w:r>
      <w:r w:rsidR="00C33ACE">
        <w:rPr>
          <w:rFonts w:cstheme="minorHAnsi"/>
        </w:rPr>
        <w:t>Altro: p</w:t>
      </w:r>
      <w:r w:rsidR="00FD0133" w:rsidRPr="00126B37">
        <w:rPr>
          <w:rFonts w:cstheme="minorHAnsi"/>
        </w:rPr>
        <w:t xml:space="preserve">rodotti interattivi multimediali; servizi </w:t>
      </w:r>
      <w:proofErr w:type="spellStart"/>
      <w:r w:rsidR="00FD0133" w:rsidRPr="00126B37">
        <w:rPr>
          <w:rFonts w:cstheme="minorHAnsi"/>
        </w:rPr>
        <w:t>clouding</w:t>
      </w:r>
      <w:proofErr w:type="spellEnd"/>
      <w:r w:rsidR="00FD0133" w:rsidRPr="00126B37">
        <w:rPr>
          <w:rFonts w:cstheme="minorHAnsi"/>
        </w:rPr>
        <w:t xml:space="preserve"> </w:t>
      </w:r>
    </w:p>
    <w:p w14:paraId="50A45983" w14:textId="77777777" w:rsidR="00C33ACE" w:rsidRPr="00126B37" w:rsidRDefault="00C33ACE" w:rsidP="00FD0133">
      <w:pPr>
        <w:suppressAutoHyphens/>
        <w:jc w:val="both"/>
        <w:rPr>
          <w:rFonts w:cstheme="minorHAnsi"/>
        </w:rPr>
      </w:pPr>
    </w:p>
    <w:p w14:paraId="6A828119" w14:textId="77777777" w:rsidR="00FD0133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>Sede di svolgimento</w:t>
      </w:r>
    </w:p>
    <w:p w14:paraId="2B9F88A8" w14:textId="77777777" w:rsidR="00DB43E2" w:rsidRPr="00126B37" w:rsidRDefault="00DB43E2" w:rsidP="00FD0133">
      <w:pPr>
        <w:suppressAutoHyphens/>
        <w:jc w:val="both"/>
        <w:rPr>
          <w:rFonts w:cstheme="minorHAnsi"/>
          <w:b/>
        </w:rPr>
      </w:pPr>
    </w:p>
    <w:p w14:paraId="224A5014" w14:textId="715DF98C" w:rsidR="00FD0133" w:rsidRPr="00C33ACE" w:rsidRDefault="00FD0133" w:rsidP="00FD0133">
      <w:pPr>
        <w:suppressAutoHyphens/>
        <w:jc w:val="both"/>
        <w:rPr>
          <w:rFonts w:cstheme="minorHAnsi"/>
        </w:rPr>
      </w:pPr>
      <w:r w:rsidRPr="00126B37">
        <w:rPr>
          <w:rFonts w:cstheme="minorHAnsi"/>
          <w:b/>
        </w:rPr>
        <w:t xml:space="preserve">Relatori/Formatori/Facilitatori </w:t>
      </w:r>
      <w:r w:rsidR="00C33ACE" w:rsidRPr="00C33ACE">
        <w:rPr>
          <w:rFonts w:cstheme="minorHAnsi"/>
        </w:rPr>
        <w:t>(nome e cognome e qualifica</w:t>
      </w:r>
      <w:r w:rsidR="00C33ACE">
        <w:rPr>
          <w:rFonts w:cstheme="minorHAnsi"/>
        </w:rPr>
        <w:t>, ruolo o incarico ricoperto</w:t>
      </w:r>
      <w:r w:rsidR="00C33ACE" w:rsidRPr="00C33ACE">
        <w:rPr>
          <w:rFonts w:cstheme="minorHAnsi"/>
        </w:rPr>
        <w:t>)</w:t>
      </w:r>
    </w:p>
    <w:p w14:paraId="4C0ACABC" w14:textId="77777777" w:rsidR="00C33ACE" w:rsidRDefault="00C33ACE" w:rsidP="00FD0133">
      <w:pPr>
        <w:suppressAutoHyphens/>
        <w:jc w:val="both"/>
        <w:rPr>
          <w:rFonts w:cstheme="minorHAnsi"/>
          <w:b/>
        </w:rPr>
      </w:pPr>
    </w:p>
    <w:p w14:paraId="17EEC7D7" w14:textId="30665964" w:rsidR="00DB43E2" w:rsidRPr="00CC7012" w:rsidRDefault="00DB43E2" w:rsidP="00FD0133">
      <w:pPr>
        <w:suppressAutoHyphens/>
        <w:jc w:val="both"/>
        <w:rPr>
          <w:rFonts w:cstheme="minorHAnsi"/>
          <w:color w:val="FF0000"/>
        </w:rPr>
      </w:pPr>
      <w:r>
        <w:rPr>
          <w:rFonts w:cstheme="minorHAnsi"/>
          <w:b/>
        </w:rPr>
        <w:t>cv. dei formatori</w:t>
      </w:r>
      <w:r w:rsidR="00CC7012">
        <w:rPr>
          <w:rFonts w:cstheme="minorHAnsi"/>
          <w:b/>
        </w:rPr>
        <w:t xml:space="preserve"> </w:t>
      </w:r>
      <w:r w:rsidR="00CC7012" w:rsidRPr="00CC7012">
        <w:rPr>
          <w:rFonts w:cstheme="minorHAnsi"/>
          <w:color w:val="FF0000"/>
        </w:rPr>
        <w:t>(allegare)</w:t>
      </w:r>
    </w:p>
    <w:p w14:paraId="3E753BE7" w14:textId="77777777" w:rsidR="00DB43E2" w:rsidRPr="00126B37" w:rsidRDefault="00DB43E2" w:rsidP="00FD0133">
      <w:pPr>
        <w:suppressAutoHyphens/>
        <w:jc w:val="both"/>
        <w:rPr>
          <w:rFonts w:cstheme="minorHAnsi"/>
        </w:rPr>
      </w:pPr>
    </w:p>
    <w:p w14:paraId="3287DA9F" w14:textId="77777777" w:rsidR="00FD0133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Contatti </w:t>
      </w:r>
    </w:p>
    <w:p w14:paraId="20DAC71A" w14:textId="77777777" w:rsidR="00DB43E2" w:rsidRDefault="00DB43E2" w:rsidP="00FD0133">
      <w:pPr>
        <w:suppressAutoHyphens/>
        <w:jc w:val="both"/>
        <w:rPr>
          <w:rFonts w:cstheme="minorHAnsi"/>
          <w:b/>
        </w:rPr>
      </w:pPr>
    </w:p>
    <w:p w14:paraId="0414F2E9" w14:textId="0AF3FA18" w:rsidR="00FD0133" w:rsidRDefault="00FD0133" w:rsidP="00FD0133">
      <w:pPr>
        <w:suppressAutoHyphens/>
        <w:jc w:val="both"/>
        <w:rPr>
          <w:rFonts w:cstheme="minorHAnsi"/>
          <w:b/>
        </w:rPr>
      </w:pPr>
      <w:r w:rsidRPr="00126B37">
        <w:rPr>
          <w:rFonts w:cstheme="minorHAnsi"/>
          <w:b/>
        </w:rPr>
        <w:t xml:space="preserve">Documentazione varia </w:t>
      </w:r>
      <w:r w:rsidR="00CC7012" w:rsidRPr="00CC7012">
        <w:rPr>
          <w:rFonts w:cstheme="minorHAnsi"/>
          <w:color w:val="FF0000"/>
        </w:rPr>
        <w:t>(eventualmente allegare)</w:t>
      </w:r>
    </w:p>
    <w:p w14:paraId="32B78C8B" w14:textId="77777777" w:rsidR="00FD0133" w:rsidRPr="00126B37" w:rsidRDefault="00FD0133" w:rsidP="00FD0133">
      <w:pPr>
        <w:suppressAutoHyphens/>
        <w:jc w:val="both"/>
        <w:rPr>
          <w:rFonts w:cstheme="minorHAnsi"/>
          <w:b/>
        </w:rPr>
      </w:pPr>
    </w:p>
    <w:p w14:paraId="4697774E" w14:textId="77777777" w:rsidR="00FD0133" w:rsidRDefault="00FD0133"/>
    <w:sectPr w:rsidR="00FD0133" w:rsidSect="00567C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illiumWe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50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2E02444D"/>
    <w:multiLevelType w:val="hybridMultilevel"/>
    <w:tmpl w:val="FA2031BE"/>
    <w:lvl w:ilvl="0" w:tplc="3A564084">
      <w:start w:val="3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340917"/>
    <w:multiLevelType w:val="hybridMultilevel"/>
    <w:tmpl w:val="CFAA43D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F439A"/>
    <w:multiLevelType w:val="hybridMultilevel"/>
    <w:tmpl w:val="34D09B36"/>
    <w:lvl w:ilvl="0" w:tplc="3A564084">
      <w:start w:val="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B2"/>
    <w:rsid w:val="001E1167"/>
    <w:rsid w:val="00567C36"/>
    <w:rsid w:val="005E33B2"/>
    <w:rsid w:val="006304AD"/>
    <w:rsid w:val="0072388D"/>
    <w:rsid w:val="007C6D5D"/>
    <w:rsid w:val="00944611"/>
    <w:rsid w:val="00AF46A2"/>
    <w:rsid w:val="00B64D72"/>
    <w:rsid w:val="00BC3314"/>
    <w:rsid w:val="00BC639E"/>
    <w:rsid w:val="00C33ACE"/>
    <w:rsid w:val="00CC7012"/>
    <w:rsid w:val="00D6066F"/>
    <w:rsid w:val="00DB43E2"/>
    <w:rsid w:val="00ED5314"/>
    <w:rsid w:val="00F865D4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B0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133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013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D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SEF.IRF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Paola Serafin</cp:lastModifiedBy>
  <cp:revision>3</cp:revision>
  <cp:lastPrinted>2017-06-06T12:04:00Z</cp:lastPrinted>
  <dcterms:created xsi:type="dcterms:W3CDTF">2017-04-24T05:21:00Z</dcterms:created>
  <dcterms:modified xsi:type="dcterms:W3CDTF">2017-06-06T13:15:00Z</dcterms:modified>
</cp:coreProperties>
</file>