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03" w:rsidRDefault="00800703" w:rsidP="00800703">
      <w:pPr>
        <w:pStyle w:val="NormaleWeb"/>
        <w:jc w:val="center"/>
      </w:pPr>
      <w:r>
        <w:rPr>
          <w:rStyle w:val="Enfasigrassetto"/>
          <w:i/>
          <w:iCs/>
        </w:rPr>
        <w:t>Contratto di lavoro: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la FLC CGIL avvia la consultazione</w:t>
      </w:r>
    </w:p>
    <w:p w:rsidR="00800703" w:rsidRDefault="00800703" w:rsidP="00800703">
      <w:pPr>
        <w:pStyle w:val="NormaleWeb"/>
      </w:pPr>
      <w:r>
        <w:t>Il 9 febbraio è stata sottoscritta tra Aran e organizzazioni sindacali l’</w:t>
      </w:r>
      <w:hyperlink r:id="rId6" w:tgtFrame="_blank" w:history="1">
        <w:r>
          <w:rPr>
            <w:rStyle w:val="Collegamentoipertestuale"/>
            <w:b/>
            <w:bCs/>
          </w:rPr>
          <w:t>Ipotesi di Contratto Collettivo Nazionale di Lavoro 2016-2018</w:t>
        </w:r>
      </w:hyperlink>
      <w:r>
        <w:t xml:space="preserve"> del comparto </w:t>
      </w:r>
      <w:r>
        <w:rPr>
          <w:rStyle w:val="Enfasigrassetto"/>
        </w:rPr>
        <w:t>“Istruzione e Ricerca”</w:t>
      </w:r>
      <w:r>
        <w:t xml:space="preserve">. Il testo dell’Ipotesi di CCNL è ora al vaglio degli organi competenti previsti dalla legge (Corte dei Conti, Ministero dell’Economia e Funzione Pubblica) per i </w:t>
      </w:r>
      <w:r>
        <w:rPr>
          <w:rStyle w:val="Enfasigrassetto"/>
        </w:rPr>
        <w:t>controlli di rito</w:t>
      </w:r>
      <w:r>
        <w:t xml:space="preserve"> prima della sottoscrizione definitiva.</w:t>
      </w:r>
    </w:p>
    <w:p w:rsidR="00800703" w:rsidRDefault="00800703" w:rsidP="00800703">
      <w:pPr>
        <w:pStyle w:val="NormaleWeb"/>
      </w:pPr>
      <w:r>
        <w:t xml:space="preserve">Nel frattempo, il </w:t>
      </w:r>
      <w:r>
        <w:rPr>
          <w:rStyle w:val="Enfasigrassetto"/>
        </w:rPr>
        <w:t>nostro sindacato</w:t>
      </w:r>
      <w:r>
        <w:t xml:space="preserve"> ha avviato la </w:t>
      </w:r>
      <w:r>
        <w:rPr>
          <w:rStyle w:val="Enfasigrassetto"/>
        </w:rPr>
        <w:t>consultazione delle iscritte e degli iscritti</w:t>
      </w:r>
      <w:r>
        <w:t xml:space="preserve">, come previsto dallo </w:t>
      </w:r>
      <w:hyperlink r:id="rId7" w:tgtFrame="_blank" w:history="1">
        <w:r>
          <w:rPr>
            <w:rStyle w:val="Collegamentoipertestuale"/>
          </w:rPr>
          <w:t>Statuto</w:t>
        </w:r>
      </w:hyperlink>
      <w:r>
        <w:t>: “Per la FLC CGIL - si legge all’articolo 7 comma 1 lettera d) - in assenza di accordo con le altre organizzazioni confederali di categoria sulle modalità di verifica del mandato delle lavoratrici e dei lavoratori, è vincolante il pronunciamento formalizzato degli iscritti”.</w:t>
      </w:r>
    </w:p>
    <w:p w:rsidR="00800703" w:rsidRDefault="00800703" w:rsidP="00800703">
      <w:pPr>
        <w:pStyle w:val="NormaleWeb"/>
      </w:pPr>
      <w:r>
        <w:rPr>
          <w:rStyle w:val="Enfasigrassetto"/>
        </w:rPr>
        <w:t>La consultazione si concluderà il 20 marzo 2018.</w:t>
      </w:r>
    </w:p>
    <w:p w:rsidR="00800703" w:rsidRDefault="00800703" w:rsidP="00800703">
      <w:pPr>
        <w:pStyle w:val="NormaleWeb"/>
      </w:pPr>
      <w:r>
        <w:t xml:space="preserve">Per la </w:t>
      </w:r>
      <w:r>
        <w:rPr>
          <w:rStyle w:val="Enfasigrassetto"/>
        </w:rPr>
        <w:t>FLC CGIL</w:t>
      </w:r>
      <w:r>
        <w:t xml:space="preserve"> sarà quindi </w:t>
      </w:r>
      <w:r>
        <w:rPr>
          <w:rStyle w:val="Enfasigrassetto"/>
        </w:rPr>
        <w:t>vincolante</w:t>
      </w:r>
      <w:r>
        <w:t xml:space="preserve"> ai fini della firma definitiva del CCNL il </w:t>
      </w:r>
      <w:r>
        <w:rPr>
          <w:rStyle w:val="Enfasigrassetto"/>
        </w:rPr>
        <w:t>pronunciamento</w:t>
      </w:r>
      <w:r>
        <w:t xml:space="preserve"> delle iscritte e degli iscritti. Inoltre, nelle nostre assemblee verranno comunque registrati anche il voto e le valutazioni dei partecipanti non iscritti.</w:t>
      </w:r>
    </w:p>
    <w:p w:rsidR="00800703" w:rsidRDefault="00800703" w:rsidP="00800703">
      <w:pPr>
        <w:pStyle w:val="NormaleWeb"/>
      </w:pPr>
      <w:r>
        <w:t xml:space="preserve">La </w:t>
      </w:r>
      <w:r>
        <w:rPr>
          <w:rStyle w:val="Enfasigrassetto"/>
        </w:rPr>
        <w:t>macchina organizzativa</w:t>
      </w:r>
      <w:r>
        <w:t xml:space="preserve"> è già in moto a pieno regime.</w:t>
      </w:r>
      <w:r>
        <w:br/>
        <w:t xml:space="preserve">Le </w:t>
      </w:r>
      <w:r>
        <w:rPr>
          <w:rStyle w:val="Enfasigrassetto"/>
        </w:rPr>
        <w:t>lavoratrici</w:t>
      </w:r>
      <w:r>
        <w:t xml:space="preserve"> e i </w:t>
      </w:r>
      <w:r>
        <w:rPr>
          <w:rStyle w:val="Enfasigrassetto"/>
        </w:rPr>
        <w:t>lavoratori</w:t>
      </w:r>
      <w:r>
        <w:t xml:space="preserve"> della scuola statale, degli atenei, degli enti di ricerca e delle istituzioni dell’alta formazione artistica, musicale e coreutica avranno dunque a disposizione uno </w:t>
      </w:r>
      <w:r>
        <w:rPr>
          <w:rStyle w:val="Enfasigrassetto"/>
        </w:rPr>
        <w:t>strumento di democrazia</w:t>
      </w:r>
      <w:r>
        <w:t xml:space="preserve"> e di </w:t>
      </w:r>
      <w:r>
        <w:rPr>
          <w:rStyle w:val="Enfasigrassetto"/>
        </w:rPr>
        <w:t>partecipazione attiva</w:t>
      </w:r>
      <w:r>
        <w:t xml:space="preserve"> alle scelte del proprio sindacato.</w:t>
      </w:r>
    </w:p>
    <w:p w:rsidR="00800703" w:rsidRDefault="00800703" w:rsidP="00800703">
      <w:pPr>
        <w:pStyle w:val="NormaleWeb"/>
      </w:pPr>
      <w:r>
        <w:rPr>
          <w:rStyle w:val="Enfasigrassetto"/>
          <w:i/>
          <w:iCs/>
        </w:rPr>
        <w:t>Contratto “Istruzione e Ricerca”: online tutti gli approfondimenti</w:t>
      </w:r>
    </w:p>
    <w:p w:rsidR="00800703" w:rsidRDefault="00800703" w:rsidP="00800703">
      <w:pPr>
        <w:pStyle w:val="NormaleWeb"/>
      </w:pPr>
      <w:r>
        <w:rPr>
          <w:rStyle w:val="Enfasigrassetto"/>
        </w:rPr>
        <w:t>SCUOLA:</w:t>
      </w:r>
      <w:r>
        <w:t xml:space="preserve"> </w:t>
      </w:r>
      <w:hyperlink r:id="rId8" w:tgtFrame="_blank" w:history="1">
        <w:r>
          <w:rPr>
            <w:rStyle w:val="Collegamentoipertestuale"/>
          </w:rPr>
          <w:t>Scheda</w:t>
        </w:r>
      </w:hyperlink>
      <w:r>
        <w:t xml:space="preserve"> | </w:t>
      </w:r>
      <w:hyperlink r:id="rId9" w:tgtFrame="_blank" w:history="1">
        <w:r>
          <w:rPr>
            <w:rStyle w:val="Collegamentoipertestuale"/>
          </w:rPr>
          <w:t>Sintesi</w:t>
        </w:r>
      </w:hyperlink>
      <w:r>
        <w:t xml:space="preserve"> | </w:t>
      </w:r>
      <w:hyperlink r:id="rId10" w:tgtFrame="_blank" w:history="1">
        <w:r>
          <w:rPr>
            <w:rStyle w:val="Collegamentoipertestuale"/>
          </w:rPr>
          <w:t>Retribuzioni</w:t>
        </w:r>
      </w:hyperlink>
      <w:r>
        <w:br/>
      </w:r>
      <w:r>
        <w:rPr>
          <w:rStyle w:val="Enfasigrassetto"/>
        </w:rPr>
        <w:t>UNIVERSITÀ:</w:t>
      </w:r>
      <w:r>
        <w:t xml:space="preserve"> </w:t>
      </w:r>
      <w:hyperlink r:id="rId11" w:tgtFrame="_blank" w:history="1">
        <w:r>
          <w:rPr>
            <w:rStyle w:val="Collegamentoipertestuale"/>
          </w:rPr>
          <w:t>Scheda</w:t>
        </w:r>
      </w:hyperlink>
      <w:r>
        <w:t xml:space="preserve"> | </w:t>
      </w:r>
      <w:hyperlink r:id="rId12" w:tgtFrame="_blank" w:history="1">
        <w:r>
          <w:rPr>
            <w:rStyle w:val="Collegamentoipertestuale"/>
          </w:rPr>
          <w:t>Sintesi</w:t>
        </w:r>
      </w:hyperlink>
      <w:r>
        <w:t xml:space="preserve"> | </w:t>
      </w:r>
      <w:hyperlink r:id="rId13" w:tgtFrame="_blank" w:history="1">
        <w:r>
          <w:rPr>
            <w:rStyle w:val="Collegamentoipertestuale"/>
          </w:rPr>
          <w:t>Retribuzioni</w:t>
        </w:r>
      </w:hyperlink>
      <w:r>
        <w:br/>
      </w:r>
      <w:r>
        <w:rPr>
          <w:rStyle w:val="Enfasigrassetto"/>
        </w:rPr>
        <w:t>RICERCA:</w:t>
      </w:r>
      <w:r>
        <w:t xml:space="preserve"> </w:t>
      </w:r>
      <w:hyperlink r:id="rId14" w:tgtFrame="_blank" w:history="1">
        <w:r>
          <w:rPr>
            <w:rStyle w:val="Collegamentoipertestuale"/>
          </w:rPr>
          <w:t>Scheda</w:t>
        </w:r>
      </w:hyperlink>
      <w:r>
        <w:t xml:space="preserve"> | </w:t>
      </w:r>
      <w:hyperlink r:id="rId15" w:tgtFrame="_blank" w:history="1">
        <w:r>
          <w:rPr>
            <w:rStyle w:val="Collegamentoipertestuale"/>
          </w:rPr>
          <w:t>Sintesi</w:t>
        </w:r>
      </w:hyperlink>
      <w:r>
        <w:t xml:space="preserve"> | </w:t>
      </w:r>
      <w:hyperlink r:id="rId16" w:tgtFrame="_blank" w:history="1">
        <w:r>
          <w:rPr>
            <w:rStyle w:val="Collegamentoipertestuale"/>
          </w:rPr>
          <w:t>Retribuzioni</w:t>
        </w:r>
      </w:hyperlink>
      <w:r>
        <w:br/>
      </w:r>
      <w:r>
        <w:rPr>
          <w:rStyle w:val="Enfasigrassetto"/>
        </w:rPr>
        <w:t>AFAM:</w:t>
      </w:r>
      <w:r>
        <w:t xml:space="preserve"> </w:t>
      </w:r>
      <w:hyperlink r:id="rId17" w:tgtFrame="_blank" w:history="1">
        <w:r>
          <w:rPr>
            <w:rStyle w:val="Collegamentoipertestuale"/>
          </w:rPr>
          <w:t>Scheda</w:t>
        </w:r>
      </w:hyperlink>
      <w:r>
        <w:t xml:space="preserve"> | </w:t>
      </w:r>
      <w:hyperlink r:id="rId18" w:tgtFrame="_blank" w:history="1">
        <w:r>
          <w:rPr>
            <w:rStyle w:val="Collegamentoipertestuale"/>
          </w:rPr>
          <w:t>Sintesi</w:t>
        </w:r>
      </w:hyperlink>
      <w:r>
        <w:t xml:space="preserve"> | </w:t>
      </w:r>
      <w:hyperlink r:id="rId19" w:tgtFrame="_blank" w:history="1">
        <w:r>
          <w:rPr>
            <w:rStyle w:val="Collegamentoipertestuale"/>
          </w:rPr>
          <w:t>Retribuzioni</w:t>
        </w:r>
      </w:hyperlink>
      <w:r>
        <w:br/>
      </w:r>
      <w:hyperlink r:id="rId20" w:history="1">
        <w:r>
          <w:rPr>
            <w:rStyle w:val="Collegamentoipertestuale"/>
          </w:rPr>
          <w:t>Ipotesi CCNL “Istruzione e Ricerca”</w:t>
        </w:r>
      </w:hyperlink>
      <w:r>
        <w:br/>
      </w:r>
      <w:hyperlink r:id="rId21" w:tgtFrame="_blank" w:history="1">
        <w:r>
          <w:rPr>
            <w:rStyle w:val="Collegamentoipertestuale"/>
          </w:rPr>
          <w:t>Filo diretto sul contratto</w:t>
        </w:r>
      </w:hyperlink>
    </w:p>
    <w:p w:rsidR="00800703" w:rsidRDefault="00800703" w:rsidP="00800703">
      <w:pPr>
        <w:pStyle w:val="NormaleWeb"/>
      </w:pPr>
      <w:r>
        <w:t xml:space="preserve">Per l’informazione quotidiana, ecco le aree del sito nazionale dedicate alle notizie di: </w:t>
      </w:r>
      <w:hyperlink r:id="rId22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23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24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25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26" w:history="1">
        <w:r>
          <w:rPr>
            <w:rStyle w:val="Collegamentoipertestuale"/>
          </w:rPr>
          <w:t>formazione professionale</w:t>
        </w:r>
      </w:hyperlink>
      <w:r>
        <w:t xml:space="preserve">. </w:t>
      </w:r>
      <w:r>
        <w:br/>
        <w:t xml:space="preserve">Siamo anche presenti su </w:t>
      </w:r>
      <w:hyperlink r:id="rId27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28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29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30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800703" w:rsidRDefault="00800703" w:rsidP="00800703">
      <w:pPr>
        <w:pStyle w:val="NormaleWeb"/>
      </w:pPr>
      <w:r>
        <w:t>Cordialmente</w:t>
      </w:r>
      <w:r>
        <w:br/>
        <w:t>FLC CGIL nazionale</w:t>
      </w:r>
    </w:p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0703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contratto-istruzione-ricerca/contratto-istruzione-e-ricerca-cosa-cambia-per-la-scuola.flc" TargetMode="External"/><Relationship Id="rId13" Type="http://schemas.openxmlformats.org/officeDocument/2006/relationships/hyperlink" Target="http://www.flcgil.it/sindacato/documenti/approfondimenti/scheda-flc-cgil-ccnl-istruzione-e-ricerca-2016-2018-arretrati-sezione-universita.flc" TargetMode="External"/><Relationship Id="rId18" Type="http://schemas.openxmlformats.org/officeDocument/2006/relationships/hyperlink" Target="http://www.flcgil.it/sindacato/documenti/approfondimenti/scheda-flc-cgil-ipotesi-ccnl-istruzione-e-ricerca-del-9-febbraio-2018-sintesi-sezione-afam.flc" TargetMode="External"/><Relationship Id="rId26" Type="http://schemas.openxmlformats.org/officeDocument/2006/relationships/hyperlink" Target="http://www.flcgil.it/scuola/formazione-professional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contratto-istruzione-ricerca/" TargetMode="External"/><Relationship Id="rId7" Type="http://schemas.openxmlformats.org/officeDocument/2006/relationships/hyperlink" Target="http://www.flcgil.it/sindacato/documenti/statuti/statuto-della-federazione-lavoratori-della-conoscenza-cgil.flc" TargetMode="External"/><Relationship Id="rId12" Type="http://schemas.openxmlformats.org/officeDocument/2006/relationships/hyperlink" Target="http://www.flcgil.it/sindacato/documenti/approfondimenti/scheda-flc-cgil-ccnl-istruzione-e-ricerca-2016-2018-sintesi-sezione-universita.flc" TargetMode="External"/><Relationship Id="rId17" Type="http://schemas.openxmlformats.org/officeDocument/2006/relationships/hyperlink" Target="http://www.flcgil.it/contratto-istruzione-ricerca/contratto-istruzione-e-ricerca-sintesi-degli-interventi-relativi-alla-sezione-afam.flc" TargetMode="External"/><Relationship Id="rId25" Type="http://schemas.openxmlformats.org/officeDocument/2006/relationships/hyperlink" Target="http://www.flcgil.it/ricer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indacato/documenti/approfondimenti/scheda-flc-cgil-ccnl-istruzione-e-ricerca-2016-2018-aumenti-e-arretrati-sezione-ricerca.flc" TargetMode="External"/><Relationship Id="rId20" Type="http://schemas.openxmlformats.org/officeDocument/2006/relationships/hyperlink" Target="http://www.flcgil.it/contratti/documenti/istruzione-e-ricerca/ipotesi-ccnl-istruzione-e-ricerca-2016-2018-del-9-febbraio-2018.flc" TargetMode="External"/><Relationship Id="rId29" Type="http://schemas.openxmlformats.org/officeDocument/2006/relationships/hyperlink" Target="https://twitter.com/flccgi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cgil.it/contratti/documenti/istruzione-e-ricerca/ipotesi-ccnl-istruzione-e-ricerca-2016-2018-del-9-febbraio-2018.flc" TargetMode="External"/><Relationship Id="rId11" Type="http://schemas.openxmlformats.org/officeDocument/2006/relationships/hyperlink" Target="http://www.flcgil.it/contratto-istruzione-ricerca/contratto-istruzione-e-ricerca-cosa-cambia-per-universita.flc" TargetMode="External"/><Relationship Id="rId24" Type="http://schemas.openxmlformats.org/officeDocument/2006/relationships/hyperlink" Target="http://www.flcgil.it/universit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indacato/documenti/approfondimenti/scheda-flc-cgil-ccnl-istruzione-e-ricerca-2016-2018-sintesi-sezione-ricerca.flc" TargetMode="External"/><Relationship Id="rId23" Type="http://schemas.openxmlformats.org/officeDocument/2006/relationships/hyperlink" Target="http://www.flcgil.it/scuola/scuola-non-statale/" TargetMode="External"/><Relationship Id="rId28" Type="http://schemas.openxmlformats.org/officeDocument/2006/relationships/hyperlink" Target="https://plus.google.com/106565478380527476442" TargetMode="External"/><Relationship Id="rId10" Type="http://schemas.openxmlformats.org/officeDocument/2006/relationships/hyperlink" Target="http://www.flcgil.it/contratto-istruzione-ricerca/contratto-istruzione-e-ricerca-scuola-aumenti-contrattuali-e-arretrati.flc" TargetMode="External"/><Relationship Id="rId19" Type="http://schemas.openxmlformats.org/officeDocument/2006/relationships/hyperlink" Target="http://www.flcgil.it/search/query/CCNL+Istruzione+e+Ricerca+AFAM/model/document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approfondimenti/scheda-flc-cgil-ipotesi-ccnl-istruzione-e-ricerca-del-9-febbraio-2018-sintesi-sezione-scuola.flc" TargetMode="External"/><Relationship Id="rId14" Type="http://schemas.openxmlformats.org/officeDocument/2006/relationships/hyperlink" Target="http://www.flcgil.it/contratto-istruzione-ricerca/contratto-istruzione-e-ricerca-cosa-cambia-per-la-ricerca.flc" TargetMode="External"/><Relationship Id="rId22" Type="http://schemas.openxmlformats.org/officeDocument/2006/relationships/hyperlink" Target="http://www.flcgil.it/scuola/" TargetMode="External"/><Relationship Id="rId27" Type="http://schemas.openxmlformats.org/officeDocument/2006/relationships/hyperlink" Target="https://www.facebook.com/flccgilfanpage/" TargetMode="External"/><Relationship Id="rId30" Type="http://schemas.openxmlformats.org/officeDocument/2006/relationships/hyperlink" Target="https://www.youtube.com/user/sindacatoflcg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20</cp:revision>
  <cp:lastPrinted>2017-06-28T07:22:00Z</cp:lastPrinted>
  <dcterms:created xsi:type="dcterms:W3CDTF">2017-03-10T12:36:00Z</dcterms:created>
  <dcterms:modified xsi:type="dcterms:W3CDTF">2018-02-27T08:47:00Z</dcterms:modified>
</cp:coreProperties>
</file>