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2"/>
      </w:tblGrid>
      <w:tr w:rsidR="00AB786E" w:rsidTr="003D0A75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AB786E" w:rsidRDefault="00AB786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786E" w:rsidTr="003D0A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3F3E3E"/>
              <w:right w:val="nil"/>
            </w:tcBorders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3D0A75" w:rsidTr="003D0A7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2"/>
                  </w:tblGrid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43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0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225" w:lineRule="exact"/>
                                <w:jc w:val="center"/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Se questa pagina non è visualizzata correttamente, </w:t>
                              </w:r>
                              <w:hyperlink r:id="rId6" w:history="1">
                                <w:r>
                                  <w:rPr>
                                    <w:rStyle w:val="Collegamentoipertestuale"/>
                                    <w:rFonts w:ascii="Georgia" w:hAnsi="Georgia"/>
                                    <w:color w:val="4B5761"/>
                                    <w:sz w:val="18"/>
                                    <w:szCs w:val="18"/>
                                    <w:lang w:eastAsia="en-US"/>
                                  </w:rPr>
                                  <w:t>vedi la versione online!</w:t>
                                </w:r>
                              </w:hyperlink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49"/>
                          <w:gridCol w:w="3583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543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132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49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381250" cy="838200"/>
                                                      <wp:effectExtent l="0" t="0" r="0" b="0"/>
                                                      <wp:docPr id="46" name="Immagine 46" descr="https://mailchef.s3.amazonaws.com/uploads/mailstyler/images/8DDD45A2-E2C6-9726-BD2A-F27AED939558_Image_1_839fb610-dbfa-4785-886f-dac05ded3ef8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s://mailchef.s3.amazonaws.com/uploads/mailstyler/images/8DDD45A2-E2C6-9726-BD2A-F27AED939558_Image_1_839fb610-dbfa-4785-886f-dac05ded3ef8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381250" cy="838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435"/>
                                <w:gridCol w:w="360"/>
                              </w:tblGrid>
                              <w:tr w:rsidR="003D0A7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D0A75" w:rsidRDefault="003D0A75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45" name="Immagine 45" descr="Facebook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D0A75" w:rsidRDefault="003D0A75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44" name="Immagine 44" descr="Twitter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D0A75" w:rsidRDefault="003D0A75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43" name="Immagine 43" descr="Youtube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352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Sottoscitta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l'ipotesi di accordo per il rinnovo del CCNL DIRIGENZA AREA ISTRUZIONE E RICERCA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323975"/>
                                                <wp:effectExtent l="0" t="0" r="0" b="9525"/>
                                                <wp:docPr id="42" name="Immagine 42" descr="https://mailchef.s3.amazonaws.com/uploads/mailstyler/images/47DA2E2D-1D09-84E6-403D-2C2B08385594_Image_5_85e8470e-f897-4145-8572-ea3a8b04101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mailchef.s3.amazonaws.com/uploads/mailstyler/images/47DA2E2D-1D09-84E6-403D-2C2B08385594_Image_5_85e8470e-f897-4145-8572-ea3a8b04101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32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Sono proseguiti ieri , 14 dicembre., i lavori iniziati il 12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us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per la definizione dell’ipotesi di accordo per il rinnovo del CCNL Dirigenza dell’area istruzione e ricerca. Presenti per l’Aran il presidente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Gasparrini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ed il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Dott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Mastrogiuseppe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41" name="Immagine 41" descr="Continua a leggere">
                                                  <a:hlinkClick xmlns:a="http://schemas.openxmlformats.org/drawingml/2006/main" r:id="rId1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463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Legge bilancio,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Snals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non esclude lo stato di agitazione. Le proposte di modifica al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DdL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Bilancio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323975"/>
                                                <wp:effectExtent l="0" t="0" r="0" b="9525"/>
                                                <wp:docPr id="40" name="Immagine 40" descr="https://mailchef.s3.amazonaws.com/uploads/mailstyler/images/2FE70A38-CE4D-976C-91D5-E36DB37D16AF_Image_7_24a11761-55fa-4e8d-9427-0f2095fa272b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mailchef.s3.amazonaws.com/uploads/mailstyler/images/2FE70A38-CE4D-976C-91D5-E36DB37D16AF_Image_7_24a11761-55fa-4e8d-9427-0f2095fa272b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32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Assoluta insufficienza delle risorse economiche stanziate nel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ddL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di Bilancio per il rinnovo dei contratti dei lavoratori del pubblico impiego. È impensabile che gli operatori scolastici, cosi come i dipendenti pubblici della sanità, sicurezza, funzioni centrali e locali, possano accettare una così misera rivalutazione delle proprie retribuzioni. Ben altre erano le aspettative della categoria...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39" name="Immagine 39" descr="Continua a leggere">
                                                  <a:hlinkClick xmlns:a="http://schemas.openxmlformats.org/drawingml/2006/main" r:id="rId18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352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lastRenderedPageBreak/>
                                <w:t>Serafini (SNALS): più posti a mobilità per ritorno a Sud, sì tempo pieno, no regionalizzazione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323975"/>
                                                <wp:effectExtent l="0" t="0" r="0" b="9525"/>
                                                <wp:docPr id="38" name="Immagine 38" descr="https://mailchef.s3.amazonaws.com/uploads/mailstyler/images/34F65610-AAD4-6CDD-F8E8-B5EBF8DD97CB_Image_9_e83eacb3-919b-4973-bd4c-47a35a50d7cf.png">
                                                  <a:hlinkClick xmlns:a="http://schemas.openxmlformats.org/drawingml/2006/main" r:id="rId1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mailchef.s3.amazonaws.com/uploads/mailstyler/images/34F65610-AAD4-6CDD-F8E8-B5EBF8DD97CB_Image_9_e83eacb3-919b-4973-bd4c-47a35a50d7c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32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Orizzonte Scuola Intervista: Il Segretario dello SNALS a tutto campo sulle questioni calde che riguardano il mondo della scuola. Dalla mobilità, al tempo pieno, dalla questione docenti precari con 36 mesi di servizio, alla regionalizzazione.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514475" cy="419100"/>
                                                <wp:effectExtent l="0" t="0" r="9525" b="0"/>
                                                <wp:docPr id="37" name="Immagine 37" descr="Continua leggere">
                                                  <a:hlinkClick xmlns:a="http://schemas.openxmlformats.org/drawingml/2006/main" r:id="rId21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Continu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447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408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Lavoratori Pubblici: La prescrizione dei contributi previdenziali è stata differita al 1 gennaio 2020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323975"/>
                                                <wp:effectExtent l="0" t="0" r="0" b="9525"/>
                                                <wp:docPr id="36" name="Immagine 36" descr="https://mailchef.s3.amazonaws.com/uploads/mailstyler/images/C77A5C19-5A38-6DE3-DA14-8D99332D83D7_Image_11_2ad6b09b-e8ce-4bfc-826d-a7f567c1097c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https://mailchef.s3.amazonaws.com/uploads/mailstyler/images/C77A5C19-5A38-6DE3-DA14-8D99332D83D7_Image_11_2ad6b09b-e8ce-4bfc-826d-a7f567c1097c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32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L'INPS, dopo aver sottoposto alla valutazione del Ministero del Lavoro e delle Politiche sociali l'opportunità di differire l'entrata in vigore delle indicazioni fornite con circolare n. 169/2017 “Prescrizione dei contributi pensionistici dovuti alle Gestioni pubbliche” alla data del 1° gennaio 2020...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35" name="Immagine 35" descr="Continua a leggere">
                                                  <a:hlinkClick xmlns:a="http://schemas.openxmlformats.org/drawingml/2006/main" r:id="rId24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324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Art. 58 DDL Bilancio 2019 "Sistema di reclutamento dei docenti scolastici"</w:t>
                              </w:r>
                            </w:p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Il tema del reclutamento dei docenti nella scuola secondaria viene affrontato dal DDL del bilancio 2019 all'art. 58. Come è noto il disegno di legge di bilancio è in discussione al Parlamento per la sua approvazione e precisamente come Atto Camera 1334 alla Commissione Bilancio per poi passare al Senato.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9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571625" cy="419100"/>
                                                <wp:effectExtent l="0" t="0" r="9525" b="0"/>
                                                <wp:docPr id="34" name="Immagine 34" descr="Continua a lettere">
                                                  <a:hlinkClick xmlns:a="http://schemas.openxmlformats.org/drawingml/2006/main" r:id="rId2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Continua a lett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7162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475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lastRenderedPageBreak/>
                                <w:t>NO ALLA REGIONALIZZAZIONE</w:t>
                              </w: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br/>
                                <w:t>DELLA SCUOLA PUBBLICA ITALIANA</w:t>
                              </w:r>
                            </w:p>
                            <w:p w:rsidR="003D0A75" w:rsidRDefault="003D0A75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La nostra scuola è stata lo strumento principale attraverso cui si è realizzata l’unità nazionale ( ben diversa da quella territoriale).</w:t>
                              </w: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> Il sistema di istruzione italiano è nazionale e non è pensabile che possa entrare in logiche tese a frammentarne il principio cardine: il diritto allo studio per tutte e per tutti, con le stesse opportunità, dalle ALPI ALLA SICILIA come garantito dalla Carta costituzionale.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56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505200" cy="571500"/>
                                                      <wp:effectExtent l="0" t="0" r="0" b="0"/>
                                                      <wp:docPr id="33" name="Immagine 33" descr="https://mailchef.s3.amazonaws.com/uploads/mailstyler/images/13727D41-62FE-2D07-388F-B93431ADCB79_Image_14_7d397dbf-4804-431b-b6f7-2dae0e030115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4" descr="https://mailchef.s3.amazonaws.com/uploads/mailstyler/images/13727D41-62FE-2D07-388F-B93431ADCB79_Image_14_7d397dbf-4804-431b-b6f7-2dae0e030115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505200" cy="571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vanish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30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533525" cy="419100"/>
                                                <wp:effectExtent l="0" t="0" r="9525" b="0"/>
                                                <wp:docPr id="32" name="Immagine 32" descr="Sottoscrivi subito">
                                                  <a:hlinkClick xmlns:a="http://schemas.openxmlformats.org/drawingml/2006/main" r:id="rId28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Sottoscrivi subit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3352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747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il giornale Scuola SNALS è disponibile</w:t>
                              </w: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br/>
                                <w:t xml:space="preserve">su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App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iOS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Android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e su snals.it: Registrati!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2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1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5505450" cy="3914775"/>
                                                      <wp:effectExtent l="0" t="0" r="0" b="9525"/>
                                                      <wp:docPr id="31" name="Immagine 31" descr="https://mailchef.s3.amazonaws.com/uploads/mailstyler/images/7E870675-8A4A-841D-D405-8E2A2D8F3B8C_Image_16_0f702bfb-7543-415c-a61c-85a3b73db25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https://mailchef.s3.amazonaws.com/uploads/mailstyler/images/7E870675-8A4A-841D-D405-8E2A2D8F3B8C_Image_16_0f702bfb-7543-415c-a61c-85a3b73db25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505450" cy="39147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6"/>
                          <w:gridCol w:w="4516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87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4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3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333500" cy="533400"/>
                                                      <wp:effectExtent l="0" t="0" r="0" b="0"/>
                                                      <wp:docPr id="30" name="Immagine 30" descr="https://mailchef.s3.amazonaws.com/uploads/mailstyler/images/1684CE30-E367-5F18-5069-128ED13C86D8_Image_17_92907cf2-410a-4ed6-b2ed-279ed4f1d48d.jpg">
                                                        <a:hlinkClick xmlns:a="http://schemas.openxmlformats.org/drawingml/2006/main" r:id="rId31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https://mailchef.s3.amazonaws.com/uploads/mailstyler/images/1684CE30-E367-5F18-5069-128ED13C86D8_Image_17_92907cf2-410a-4ed6-b2ed-279ed4f1d48d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0" cy="533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4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3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333500" cy="533400"/>
                                                      <wp:effectExtent l="0" t="0" r="0" b="0"/>
                                                      <wp:docPr id="29" name="Immagine 29" descr="https://mailchef.s3.amazonaws.com/uploads/mailstyler/images/99B9CD7E-F822-E47B-1C21-CD46A9456913_Image_18_a8047d73-2d6d-4cf8-b30b-9d248c5d4cbd.png">
                                                        <a:hlinkClick xmlns:a="http://schemas.openxmlformats.org/drawingml/2006/main" r:id="rId3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https://mailchef.s3.amazonaws.com/uploads/mailstyler/images/99B9CD7E-F822-E47B-1C21-CD46A9456913_Image_18_a8047d73-2d6d-4cf8-b30b-9d248c5d4cbd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0" cy="533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6"/>
                          <w:gridCol w:w="4516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42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1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2647950"/>
                                                      <wp:effectExtent l="0" t="0" r="0" b="0"/>
                                                      <wp:docPr id="2" name="Immagine 2" descr="https://mailchef.s3.amazonaws.com/uploads/mailstyler/images/4DB0538C-D28A-4264-79CC-610D9112FDEE_Image_19_17b4e862-6b36-4d26-9362-371ae162e3b2.png">
                                                        <a:hlinkClick xmlns:a="http://schemas.openxmlformats.org/drawingml/2006/main" r:id="rId31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https://mailchef.s3.amazonaws.com/uploads/mailstyler/images/4DB0538C-D28A-4264-79CC-610D9112FDEE_Image_19_17b4e862-6b36-4d26-9362-371ae162e3b2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2647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6"/>
                              </w:tblGrid>
                              <w:tr w:rsidR="003D0A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16"/>
                                    </w:tblGrid>
                                    <w:tr w:rsidR="003D0A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D0A75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D0A75" w:rsidRDefault="003D0A75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2647950"/>
                                                      <wp:effectExtent l="0" t="0" r="0" b="0"/>
                                                      <wp:docPr id="1" name="Immagine 1" descr="https://mailchef.s3.amazonaws.com/uploads/mailstyler/images/DFE7225F-B8C8-3A5D-55E8-2D8A77C945FF_Image_20_75bf3e84-b017-49ae-bbe3-9bfdda5ce2ca.png">
                                                        <a:hlinkClick xmlns:a="http://schemas.openxmlformats.org/drawingml/2006/main" r:id="rId3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0" descr="https://mailchef.s3.amazonaws.com/uploads/mailstyler/images/DFE7225F-B8C8-3A5D-55E8-2D8A77C945FF_Image_20_75bf3e84-b017-49ae-bbe3-9bfdda5ce2ca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2647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D0A75" w:rsidRDefault="003D0A75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0A75" w:rsidRDefault="003D0A75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0A75" w:rsidRDefault="003D0A75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3D0A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3D0A75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3D0A75" w:rsidRDefault="003D0A75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D0A75">
                          <w:trPr>
                            <w:trHeight w:val="61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3D0A75" w:rsidRDefault="003D0A75">
                              <w:pPr>
                                <w:pStyle w:val="NormaleWeb"/>
                                <w:spacing w:after="240" w:afterAutospacing="0" w:line="225" w:lineRule="exact"/>
                                <w:jc w:val="center"/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©2018 S.N.A.L.S. Segreteria Generale - Via Leopoldo Serra 5 - 00153 Roma -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06588931</w:t>
                              </w:r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> 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3D0A75" w:rsidRDefault="003D0A75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D0A75" w:rsidRDefault="003D0A7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D0A75" w:rsidTr="003D0A75">
              <w:trPr>
                <w:trHeight w:val="12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0A75" w:rsidRDefault="003D0A75">
                  <w:pPr>
                    <w:spacing w:line="0" w:lineRule="auto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lastRenderedPageBreak/>
                    <w:t> </w:t>
                  </w:r>
                </w:p>
              </w:tc>
            </w:tr>
          </w:tbl>
          <w:p w:rsidR="003D0A75" w:rsidRDefault="003D0A75" w:rsidP="003D0A75">
            <w:pPr>
              <w:pStyle w:val="NormaleWeb"/>
            </w:pPr>
            <w:r>
              <w:t> </w:t>
            </w:r>
          </w:p>
          <w:p w:rsidR="00AB786E" w:rsidRDefault="00AB786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AB786E" w:rsidTr="003D0A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3F3E3E"/>
              <w:right w:val="nil"/>
            </w:tcBorders>
            <w:shd w:val="clear" w:color="auto" w:fill="F4FEFA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</w:tcPr>
          <w:p w:rsidR="00AB786E" w:rsidRDefault="00AB786E">
            <w:pPr>
              <w:rPr>
                <w:lang w:eastAsia="en-US"/>
              </w:rPr>
            </w:pPr>
          </w:p>
        </w:tc>
      </w:tr>
    </w:tbl>
    <w:p w:rsidR="00000037" w:rsidRDefault="00000037" w:rsidP="00856D95"/>
    <w:sectPr w:rsidR="0000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3D0A75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B786E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ck.me/tracking/raWzMz50paMkCGD3AQV0AQt4AwtzMKWjqzA2pzSaqaR9AQZ5AmpjBGZzrKMurUMkCGR3BQt2ZGpmAQR0Bj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mtrack.me/tracking/raWzMz50paMkCGD3AQV0AQt4AwtzMKWjqzA2pzSaqaR9AQZ5AmpjBGZzrKMurUMkCGR3BQt2ZGpmAQR4Aj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mtrack.me/tracking/raWzMz50paMkCGD3AQV0AQt4AwtzMKWjqzA2pzSaqaR9AQZ5AmpjBGZzrKMurUMkCGR3BQt2ZGpmAQVjCN" TargetMode="External"/><Relationship Id="rId34" Type="http://schemas.openxmlformats.org/officeDocument/2006/relationships/image" Target="media/image16.png"/><Relationship Id="rId7" Type="http://schemas.openxmlformats.org/officeDocument/2006/relationships/image" Target="media/image1.jpeg"/><Relationship Id="rId12" Type="http://schemas.openxmlformats.org/officeDocument/2006/relationships/hyperlink" Target="http://mtrack.me/tracking/raWzMz50paMkCGD3AQV0AQt4AwtzMKWjqzA2pzSaqaR9AQZ5AmpjBGZzrKMurUMkCGR3BQt2ZGpmAQR2BD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mtrack.me/tracking/raWzMz50paMkCGD3AQV0AQt4AwtzMKWjqzA2pzSaqaR9AQZ5AmpjBGZzrKMurUMkCGR3BQt2ZGpmAQVlCt" TargetMode="External"/><Relationship Id="rId33" Type="http://schemas.openxmlformats.org/officeDocument/2006/relationships/hyperlink" Target="http://mtrack.me/tracking/raWzMz50paMkCGD3AQV0AQt4AwtzMKWjqzA2pzSaqaR9AQZ5AmpjBGZzrKMurUMkCGR3BQt2ZGpmAQV1B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mtrack.me/tracking/raWzMz50paMkCGD3AQV0AQt4AwtzMKWjqzA2pzSaqaR9AQZ5AmpjBGZzrKMurUMkCGR3BQt2ZGpmAQRmCN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mtrack.me/tracking/raWzMz50paMkCGD3AQV0AQt4AwtzMKWjqzA2pzSaqaR9AQZ5AmpjBGZzrKMurUMkCGR3BQt2ZGpmAQVkCD" TargetMode="External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track.me/tracking/raWzMz50paMkCGD3AQV0AQt4AwtzMKWjqzA2pzSaqaR9AQZ5AmpjBGZzrKMurUMkCGR3BQt2ZGpmAQR3BN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mtrack.me/tracking/raWzMz50paMkCGD3AQV0AQt4AwtzMKWjqzA2pzSaqaR9AQZ5AmpjBGZzrKMurUMkCGR3BQt2ZGpmAQVmCj" TargetMode="External"/><Relationship Id="rId36" Type="http://schemas.openxmlformats.org/officeDocument/2006/relationships/image" Target="media/image18.png"/><Relationship Id="rId10" Type="http://schemas.openxmlformats.org/officeDocument/2006/relationships/hyperlink" Target="http://mtrack.me/tracking/raWzMz50paMkCGD3AQV0AQt4AwtzMKWjqzA2pzSaqaR9AQZ5AmpjBGZzrKMurUMkCGR3BQt2ZGpmAQR1Bt" TargetMode="External"/><Relationship Id="rId19" Type="http://schemas.openxmlformats.org/officeDocument/2006/relationships/hyperlink" Target="http://mtrack.me/tracking/raWzMz50paMkCGD3AQV0AQt4AwtzMKWjqzA2pzSaqaR9AQZ5AmpjBGZzrKMurUMkCGR3BQt2ZGpmAQR5At" TargetMode="External"/><Relationship Id="rId31" Type="http://schemas.openxmlformats.org/officeDocument/2006/relationships/hyperlink" Target="http://mtrack.me/tracking/raWzMz50paMkCGD3AQV0AQt4AwtzMKWjqzA2pzSaqaR9AQZ5AmpjBGZzrKMurUMkCGR3BQt2ZGpmAQV0B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2018-12-15T11:54:00Z</dcterms:modified>
</cp:coreProperties>
</file>