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5F" w:rsidRDefault="00C47D5F" w:rsidP="00856D95"/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Contratti COVID docenti e ATA: prorogati dal 31 dicembre al 31 marzo 2022 tutti i contratti in essere</w:t>
      </w:r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 la </w:t>
      </w:r>
      <w:hyperlink r:id="rId6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nota 1376 del 28 dicembre 2021</w:t>
        </w:r>
      </w:hyperlink>
      <w:r>
        <w:rPr>
          <w:rFonts w:ascii="Arial" w:hAnsi="Arial" w:cs="Arial"/>
          <w:color w:val="333333"/>
          <w:sz w:val="20"/>
          <w:szCs w:val="20"/>
        </w:rPr>
        <w:t>, il Ministero dell’Istruzione ha comunicato alle scuole la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proroga dei contratti stipulati con il personale docente e ATA</w:t>
      </w:r>
      <w:r>
        <w:rPr>
          <w:rFonts w:ascii="Arial" w:hAnsi="Arial" w:cs="Arial"/>
          <w:color w:val="333333"/>
          <w:sz w:val="20"/>
          <w:szCs w:val="20"/>
        </w:rPr>
        <w:t> che, come previsto dall’articolo 58 del DL 73/2001, erano tutti in scadenza il 30 dicembre.</w:t>
      </w:r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 risorse stanziate dalla legge di bilancio consentono di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anticipare la scelta della proroga già dal 31 dicembre garantendo la continuità del servizio e della retribuzione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 risorse stanziate dovrebbero consentire la prosecuzione delle supplenze fino al termine delle lezioni dell’anno scolastico 2021/2022, ma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il Ministero intanto dà indicazione alle scuole di prorogarle fino al 31 marzo 2022</w:t>
      </w:r>
      <w:r>
        <w:rPr>
          <w:rFonts w:ascii="Arial" w:hAnsi="Arial" w:cs="Arial"/>
          <w:color w:val="333333"/>
          <w:sz w:val="20"/>
          <w:szCs w:val="20"/>
        </w:rPr>
        <w:t>, per verificare in itinere le eventuali necessità di risorse finanziarie per la prosecuzione fino alla fine delle lezioni.</w:t>
      </w:r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7" w:anchor="giudizio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Il nostro commento</w:t>
        </w:r>
        <w:r>
          <w:rPr>
            <w:rFonts w:ascii="Arial" w:hAnsi="Arial" w:cs="Arial"/>
            <w:color w:val="5B9BD1"/>
            <w:sz w:val="20"/>
            <w:szCs w:val="20"/>
          </w:rPr>
          <w:br/>
        </w:r>
      </w:hyperlink>
      <w:hyperlink r:id="rId8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Suggerimenti per l’applicazione della proroga e della nota del Ministero</w:t>
        </w:r>
      </w:hyperlink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5B9BD1"/>
          <w:sz w:val="20"/>
          <w:szCs w:val="20"/>
        </w:rPr>
        <w:drawing>
          <wp:inline distT="0" distB="0" distL="0" distR="0">
            <wp:extent cx="5972175" cy="3048000"/>
            <wp:effectExtent l="0" t="0" r="9525" b="0"/>
            <wp:docPr id="2" name="Immagine 2" descr="Auguri di buone feste dalla FLC CGI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ri di buone feste dalla FLC CGI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D2" w:rsidRDefault="00632CD2" w:rsidP="00632CD2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"https://www.instagram.com/flccgilnazionale/" \t "_blank"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Instagram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"https://twitter.com/flccgil"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Twitter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YouTube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632CD2" w:rsidRDefault="00632CD2" w:rsidP="00632CD2">
      <w:pPr>
        <w:pStyle w:val="stile1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__________________</w:t>
      </w:r>
    </w:p>
    <w:p w:rsidR="00C47D5F" w:rsidRDefault="00C47D5F" w:rsidP="00632CD2">
      <w:pPr>
        <w:pStyle w:val="NormaleWeb"/>
        <w:shd w:val="clear" w:color="auto" w:fill="FFFFFF"/>
        <w:spacing w:before="0" w:beforeAutospacing="0" w:after="150" w:afterAutospacing="0"/>
        <w:jc w:val="center"/>
      </w:pPr>
      <w:bookmarkStart w:id="0" w:name="_GoBack"/>
      <w:bookmarkEnd w:id="0"/>
    </w:p>
    <w:sectPr w:rsidR="00C47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36F82"/>
    <w:multiLevelType w:val="multilevel"/>
    <w:tmpl w:val="3A7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32CD2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AD433F"/>
    <w:rsid w:val="00B21779"/>
    <w:rsid w:val="00B54C27"/>
    <w:rsid w:val="00B95B0B"/>
    <w:rsid w:val="00BA0924"/>
    <w:rsid w:val="00BA6E7F"/>
    <w:rsid w:val="00BB7BA4"/>
    <w:rsid w:val="00BD7A26"/>
    <w:rsid w:val="00C25950"/>
    <w:rsid w:val="00C47D5F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contratti-covid-i-nostri-suggerimenti-per-l-applicazione-della-proroga-e-della-nota-del-ministero.fl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cgil.it/scuola/contratti-covid-prorogati-dal-31-dicembre-al-31-marzo-2022-tutti-contratti-in-essere-personale-docente-e-ata.fl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.it/leggi-normative/documenti/note-ministeriali/nota-1376-del-28-dicembre-2021-proroga-contratti-covid-docenti-e-ata-prime-indicazioni-istituzioni-scolastiche.fl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lcgil.it/pictures/20210101/auguri-natale-2021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ROSSELLA</cp:lastModifiedBy>
  <cp:revision>46</cp:revision>
  <cp:lastPrinted>2021-10-13T08:11:00Z</cp:lastPrinted>
  <dcterms:created xsi:type="dcterms:W3CDTF">2017-03-10T12:36:00Z</dcterms:created>
  <dcterms:modified xsi:type="dcterms:W3CDTF">2021-12-31T06:55:00Z</dcterms:modified>
</cp:coreProperties>
</file>